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FCFE0">
      <w:pPr>
        <w:pStyle w:val="58"/>
        <w:spacing w:line="360" w:lineRule="auto"/>
        <w:rPr>
          <w:color w:val="000000"/>
          <w:shd w:val="pct10" w:color="auto" w:fill="FFFFFF"/>
        </w:rPr>
      </w:pPr>
      <w:bookmarkStart w:id="0" w:name="SectionMark0"/>
      <w:r>
        <w:rPr>
          <w:color w:val="000000"/>
          <w:shd w:val="pct10" w:color="auto" w:fill="FFFFFF"/>
        </w:rPr>
        <w:t>、</w:t>
      </w:r>
    </w:p>
    <w:p w14:paraId="647691F6">
      <w:pPr>
        <w:pStyle w:val="58"/>
        <w:spacing w:line="360" w:lineRule="auto"/>
        <w:rPr>
          <w:color w:val="000000"/>
          <w:shd w:val="pct10" w:color="auto" w:fill="FFFFFF"/>
        </w:rPr>
      </w:pPr>
    </w:p>
    <w:p w14:paraId="33CA7AC3">
      <w:pPr>
        <w:pStyle w:val="58"/>
        <w:spacing w:line="360" w:lineRule="auto"/>
        <w:rPr>
          <w:color w:val="000000"/>
          <w:shd w:val="pct10" w:color="auto" w:fill="FFFFFF"/>
        </w:rPr>
      </w:pPr>
    </w:p>
    <w:p w14:paraId="36A31BE0">
      <w:pPr>
        <w:pStyle w:val="58"/>
        <w:spacing w:line="360" w:lineRule="auto"/>
        <w:rPr>
          <w:color w:val="000000"/>
          <w:shd w:val="pct10" w:color="auto" w:fill="FFFFFF"/>
        </w:rPr>
        <w:sectPr>
          <w:headerReference r:id="rId7" w:type="first"/>
          <w:headerReference r:id="rId5" w:type="default"/>
          <w:footerReference r:id="rId8" w:type="default"/>
          <w:headerReference r:id="rId6" w:type="even"/>
          <w:footerReference r:id="rId9" w:type="even"/>
          <w:pgSz w:w="11907" w:h="16839"/>
          <w:pgMar w:top="1440" w:right="1559" w:bottom="1440" w:left="1797" w:header="0" w:footer="0" w:gutter="0"/>
          <w:pgNumType w:fmt="upperRoman" w:start="1"/>
          <w:cols w:space="720" w:num="1"/>
          <w:titlePg/>
          <w:docGrid w:type="lines" w:linePitch="312" w:charSpace="0"/>
        </w:sectPr>
      </w:pPr>
      <w:r>
        <w:rPr>
          <w:color w:val="000000"/>
        </w:rPr>
        <mc:AlternateContent>
          <mc:Choice Requires="wps">
            <w:drawing>
              <wp:anchor distT="0" distB="0" distL="114300" distR="114300" simplePos="0" relativeHeight="251669504" behindDoc="0" locked="0" layoutInCell="1" allowOverlap="1">
                <wp:simplePos x="0" y="0"/>
                <wp:positionH relativeFrom="column">
                  <wp:posOffset>-383540</wp:posOffset>
                </wp:positionH>
                <wp:positionV relativeFrom="paragraph">
                  <wp:posOffset>7437755</wp:posOffset>
                </wp:positionV>
                <wp:extent cx="6121400"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0.2pt;margin-top:585.65pt;height:0pt;width:482pt;z-index:251669504;mso-width-relative:page;mso-height-relative:page;" filled="f" stroked="t" coordsize="21600,21600" o:gfxdata="UEsDBAoAAAAAAIdO4kAAAAAAAAAAAAAAAAAEAAAAZHJzL1BLAwQUAAAACACHTuJAWyfXXtcAAAAN&#10;AQAADwAAAGRycy9kb3ducmV2LnhtbE2PwU7DMAyG70i8Q2QkbltSNkpXmk5iEpfdKBNw9JrQVjRO&#10;1WTd+vaYA4Kj/f/6/LnYXlwvJjuGzpOGZKlAWKq96ajRcHh9XmQgQkQy2HuyGmYbYFteXxWYG3+m&#10;FztVsREMoZCjhjbGIZcy1K11GJZ+sMTZpx8dRh7HRpoRzwx3vbxTKpUOO+ILLQ5219r6qzo5pty/&#10;Z097zA7z3Fcfm/XubT+R0/r2JlGPIKK9xL8y/OizOpTsdPQnMkH0GhapWnOVg+QhWYHgykatUhDH&#10;35UsC/n/i/IbUEsDBBQAAAAIAIdO4kD9xZ8u8gEAAOkDAAAOAAAAZHJzL2Uyb0RvYy54bWytU81u&#10;EzEQviPxDpbvZDdRqWCVTQ8N5YIgEvAAE9ubteQ/edxs8hK8ABI3OHHkztvQPgZjbxpKe8mhe/CO&#10;PTPfzPd5PL/YWcO2KqL2ruXTSc2ZcsJL7TYt//zp6sUrzjCBk2C8Uy3fK+QXi+fP5kNo1Mz33kgV&#10;GYE4bIbQ8j6l0FQVil5ZwIkPypGz89FCom3cVDLCQOjWVLO6Pq8GH2WIXihEOl2OTn5AjKcA+q7T&#10;Qi29uLbKpRE1KgOJKGGvA/JF6bbrlEgfug5VYqblxDSVlYqQvc5rtZhDs4kQei0OLcApLTzgZEE7&#10;KnqEWkICdh31IyirRfTouzQR3lYjkaIIsZjWD7T52ENQhQtJjeEoOj4drHi/XUWmJU3CGWcOLN34&#10;zddff758v/39jdabnz8YeUimIWBD0ZduFQ87DKuYOe+6aPOf2LBdkXZ/lFbtEhN0eD6dTc9qUl3c&#10;+ap/iSFiequ8ZdloudEus4YGtu8wUTEKvQvJx8axgfp9Xb/MeEAz2NHdk2kD8UC3KcnojZZX2pic&#10;gnGzvjSRbSHPQfkyJwL+LyxXWQL2Y1xxjRPSK5BvnGRpH0ggRw+D5x6skpwZRe8oWwQITQJtTomk&#10;0sblBFWm9EA0izzKmq21l/uidpV3NAGl48O05hG7vyf7/gtd/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J9de1wAAAA0BAAAPAAAAAAAAAAEAIAAAACIAAABkcnMvZG93bnJldi54bWxQSwECFAAU&#10;AAAACACHTuJA/cWfLvIBAADpAwAADgAAAAAAAAABACAAAAAmAQAAZHJzL2Uyb0RvYy54bWxQSwUG&#10;AAAAAAYABgBZAQAAigUAAAAA&#10;">
                <v:fill on="f" focussize="0,0"/>
                <v:stroke weight="1.5pt" color="#000000" joinstyle="round"/>
                <v:imagedata o:title=""/>
                <o:lock v:ext="edit" aspectratio="f"/>
              </v:line>
            </w:pict>
          </mc:Fallback>
        </mc:AlternateContent>
      </w:r>
      <w:r>
        <w:rPr>
          <w:color w:val="000000"/>
        </w:rPr>
        <mc:AlternateContent>
          <mc:Choice Requires="wps">
            <w:drawing>
              <wp:anchor distT="0" distB="0" distL="114300" distR="114300" simplePos="0" relativeHeight="251668480" behindDoc="0" locked="0" layoutInCell="1" allowOverlap="1">
                <wp:simplePos x="0" y="0"/>
                <wp:positionH relativeFrom="column">
                  <wp:posOffset>-356870</wp:posOffset>
                </wp:positionH>
                <wp:positionV relativeFrom="paragraph">
                  <wp:posOffset>1548130</wp:posOffset>
                </wp:positionV>
                <wp:extent cx="61214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8.1pt;margin-top:121.9pt;height:0pt;width:482pt;z-index:251668480;mso-width-relative:page;mso-height-relative:page;" filled="f" stroked="t" coordsize="21600,21600" o:gfxdata="UEsDBAoAAAAAAIdO4kAAAAAAAAAAAAAAAAAEAAAAZHJzL1BLAwQUAAAACACHTuJAlnaDIdgAAAAL&#10;AQAADwAAAGRycy9kb3ducmV2LnhtbE2PQU/DMAyF70j8h8hI3LZkZRtdaTqJSVx2o0zA0WtCW9E4&#10;VZN167/HSEjsZvs9PX8v315cJ0Y7hNaThsVcgbBUedNSreHw9jJLQYSIZLDzZDVMNsC2uL3JMTP+&#10;TK92LGMtOIRChhqaGPtMylA11mGY+94Sa19+cBh5HWppBjxzuOtkotRaOmyJPzTY211jq+/y5Dhl&#10;9ZE+7zE9TFNXfm6Wu/f9SE7r+7uFegIR7SX+m+EXn9GhYKajP5EJotMwW60TtmpIlg/cgR0b9cjD&#10;8e8ii1xedyh+AFBLAwQUAAAACACHTuJA3ZWb5/IBAADpAwAADgAAAGRycy9lMm9Eb2MueG1srVPN&#10;bhMxEL4j8Q6W72Q3ASq6yqaHhnJBEAl4gIntzVrynzxuNnkJXgCJG5w4cudtWh6DsTdNS7nkwB68&#10;Y8/MN/N9Hs8vdtawrYqovWv5dFJzppzwUrtNyz99vHr2ijNM4CQY71TL9wr5xeLpk/kQGjXzvTdS&#10;RUYgDpshtLxPKTRVhaJXFnDig3Lk7Hy0kGgbN5WMMBC6NdWsrs+qwUcZohcKkU6Xo5MfEOMpgL7r&#10;tFBLL66tcmlEjcpAIkrY64B8UbrtOiXS+65DlZhpOTFNZaUiZK/zWi3m0GwihF6LQwtwSguPOFnQ&#10;jooeoZaQgF1H/Q+U1SJ69F2aCG+rkUhRhFhM60fafOghqMKFpMZwFB3/H6x4t11FpiVNwnPOHFi6&#10;8dsvP28+f/v96yuttz++M/KQTEPAhqIv3SoedhhWMXPeddHmP7FhuyLt/iit2iUm6PBsOpu+qEl1&#10;ceer7hNDxPRGecuy0XKjXWYNDWzfYqJiFHoXko+NYwP1e16/zHhAM9jR3ZNpA/FAtynJ6I2WV9qY&#10;nIJxs740kW0hz0H5MicC/issV1kC9mNccY0T0iuQr51kaR9IIEcPg+cerJKcGUXvKFsECE0CbU6J&#10;pNLG5QRVpvRANIs8ypqttZf7onaVdzQBpePDtOYRe7gn++ELXf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naDIdgAAAALAQAADwAAAAAAAAABACAAAAAiAAAAZHJzL2Rvd25yZXYueG1sUEsBAhQA&#10;FAAAAAgAh07iQN2Vm+fyAQAA6QMAAA4AAAAAAAAAAQAgAAAAJwEAAGRycy9lMm9Eb2MueG1sUEsF&#10;BgAAAAAGAAYAWQEAAIsFAAAAAA==&#10;">
                <v:fill on="f" focussize="0,0"/>
                <v:stroke weight="1.5pt" color="#000000" joinstyle="round"/>
                <v:imagedata o:title=""/>
                <o:lock v:ext="edit" aspectratio="f"/>
              </v:line>
            </w:pict>
          </mc:Fallback>
        </mc:AlternateContent>
      </w:r>
      <w:r>
        <w:rPr>
          <w:color w:val="000000"/>
        </w:rPr>
        <mc:AlternateContent>
          <mc:Choice Requires="wps">
            <w:drawing>
              <wp:anchor distT="0" distB="0" distL="114300" distR="114300" simplePos="0" relativeHeight="251667456" behindDoc="0" locked="1" layoutInCell="1" allowOverlap="1">
                <wp:simplePos x="0" y="0"/>
                <wp:positionH relativeFrom="margin">
                  <wp:posOffset>-365760</wp:posOffset>
                </wp:positionH>
                <wp:positionV relativeFrom="margin">
                  <wp:posOffset>8371205</wp:posOffset>
                </wp:positionV>
                <wp:extent cx="6080760" cy="363220"/>
                <wp:effectExtent l="0" t="0" r="0" b="0"/>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6080760" cy="363220"/>
                        </a:xfrm>
                        <a:prstGeom prst="rect">
                          <a:avLst/>
                        </a:prstGeom>
                        <a:solidFill>
                          <a:srgbClr val="FFFFFF"/>
                        </a:solidFill>
                        <a:ln>
                          <a:noFill/>
                        </a:ln>
                        <a:effectLst/>
                      </wps:spPr>
                      <wps:txbx>
                        <w:txbxContent>
                          <w:p w14:paraId="21DE5F3B">
                            <w:pPr>
                              <w:pStyle w:val="51"/>
                              <w:rPr>
                                <w:rFonts w:cs="Times New Roman"/>
                                <w:spacing w:val="30"/>
                              </w:rPr>
                            </w:pPr>
                            <w:r>
                              <w:rPr>
                                <w:rFonts w:hint="eastAsia"/>
                                <w:spacing w:val="30"/>
                              </w:rPr>
                              <w:t xml:space="preserve">江苏省市场监督管理局  </w:t>
                            </w:r>
                            <w:r>
                              <w:rPr>
                                <w:rStyle w:val="48"/>
                                <w:rFonts w:hint="eastAsia"/>
                                <w:spacing w:val="30"/>
                                <w:szCs w:val="28"/>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8.8pt;margin-top:659.15pt;height:28.6pt;width:478.8pt;mso-position-horizontal-relative:margin;mso-position-vertical-relative:margin;z-index:251667456;mso-width-relative:page;mso-height-relative:page;" fillcolor="#FFFFFF" filled="t" stroked="f" coordsize="21600,21600" o:gfxdata="UEsDBAoAAAAAAIdO4kAAAAAAAAAAAAAAAAAEAAAAZHJzL1BLAwQUAAAACACHTuJAAY9+EdsAAAAN&#10;AQAADwAAAGRycy9kb3ducmV2LnhtbE2PwW7CMBBE75X6D9ZW6qUCO6AEmsZBKrQ3eoAiziZ2k6jx&#10;OrIdAn/f5USPO/M0O1OsLrZjZ+ND61BCMhXADFZOt1hLOHx/TpbAQlSoVefQSLiaAKvy8aFQuXYj&#10;7sx5H2tGIRhyJaGJsc85D1VjrApT1xsk78d5qyKdvubaq5HCbcdnQmTcqhbpQ6N6s25M9bsfrIRs&#10;44dxh+uXzeFjq776enZ8vx6lfH5KxBuwaC7xDsOtPlWHkjqd3IA6sE7CJF1khJIxT5ZzYIS8CkHz&#10;TjdpkabAy4L/X1H+AVBLAwQUAAAACACHTuJAlnV2/SYCAAA+BAAADgAAAGRycy9lMm9Eb2MueG1s&#10;rVPNjtMwEL4j8Q6W7zTZrlRWUdPV0qoIafmRFh7AcZzEIvGYsdukPAC8AScu3HmuPgdjJy2rctkD&#10;OUTj8cw3830zXt4OXcv2Cp0Gk/OrWcqZMhJKbeqcf/q4fXHDmfPClKIFo3J+UI7frp4/W/Y2U3No&#10;oC0VMgIxLuttzhvvbZYkTjaqE24GVhm6rAA74emIdVKi6Am9a5N5mi6SHrC0CFI5R97NeMknRHwK&#10;IFSVlmoDctcp40dUVK3wRMk12jq+it1WlZL+fVU55Vmbc2Lq45+KkF2Ef7JaiqxGYRstpxbEU1q4&#10;4NQJbajoGWojvGA71P9AdVoiOKj8TEKXjESiIsTiKr3Q5qERVkUuJLWzZ9Hd/4OV7/YfkOmSNmHO&#10;mREdTfz44/vx5+/jr2+MfCRQb11GcQ+WIv3wCgYKjmSdvQf52TED60aYWt0hQt8oUVKDVyEzeZQ6&#10;4rgAUvRvoaRCYuchAg0VdkE90oMROg3ncB6OGjyT5FykN+nLBV1JurteXM/ncXqJyE7ZFp1/raBj&#10;wcg50vAjutjfOx+6EdkpJBRz0Opyq9s2HrAu1i2yvaBF2cYvErgIa00INhDSRsTRo+KqTWUC6cBz&#10;ZOyHYphELKA8EH2EcQ3pEZLRAH7lrKcVzLn7shOoOGvfGJIw7OvJwJNRnAxhJKXm3HM2mms/7vXO&#10;oq4bQh6HZOCOZK50VCC0NnYxDYfWKgozPYGwt4/PMervs1/9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GPfhHbAAAADQEAAA8AAAAAAAAAAQAgAAAAIgAAAGRycy9kb3ducmV2LnhtbFBLAQIUABQA&#10;AAAIAIdO4kCWdXb9JgIAAD4EAAAOAAAAAAAAAAEAIAAAACoBAABkcnMvZTJvRG9jLnhtbFBLBQYA&#10;AAAABgAGAFkBAADCBQAAAAA=&#10;">
                <v:fill on="t" focussize="0,0"/>
                <v:stroke on="f"/>
                <v:imagedata o:title=""/>
                <o:lock v:ext="edit" aspectratio="f"/>
                <v:textbox inset="0mm,0mm,0mm,0mm">
                  <w:txbxContent>
                    <w:p w14:paraId="21DE5F3B">
                      <w:pPr>
                        <w:pStyle w:val="51"/>
                        <w:rPr>
                          <w:rFonts w:cs="Times New Roman"/>
                          <w:spacing w:val="30"/>
                        </w:rPr>
                      </w:pPr>
                      <w:r>
                        <w:rPr>
                          <w:rFonts w:hint="eastAsia"/>
                          <w:spacing w:val="30"/>
                        </w:rPr>
                        <w:t xml:space="preserve">江苏省市场监督管理局  </w:t>
                      </w:r>
                      <w:r>
                        <w:rPr>
                          <w:rStyle w:val="48"/>
                          <w:rFonts w:hint="eastAsia"/>
                          <w:spacing w:val="30"/>
                          <w:szCs w:val="28"/>
                        </w:rPr>
                        <w:t>发布</w:t>
                      </w:r>
                    </w:p>
                  </w:txbxContent>
                </v:textbox>
                <w10:anchorlock/>
              </v:shape>
            </w:pict>
          </mc:Fallback>
        </mc:AlternateContent>
      </w:r>
      <w:r>
        <w:rPr>
          <w:color w:val="000000"/>
        </w:rPr>
        <mc:AlternateContent>
          <mc:Choice Requires="wps">
            <w:drawing>
              <wp:anchor distT="0" distB="0" distL="114300" distR="114300" simplePos="0" relativeHeight="251665408" behindDoc="0" locked="1" layoutInCell="1" allowOverlap="1">
                <wp:simplePos x="0" y="0"/>
                <wp:positionH relativeFrom="margin">
                  <wp:posOffset>3695700</wp:posOffset>
                </wp:positionH>
                <wp:positionV relativeFrom="margin">
                  <wp:posOffset>7871460</wp:posOffset>
                </wp:positionV>
                <wp:extent cx="2019300" cy="312420"/>
                <wp:effectExtent l="0" t="0" r="0"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4E257CAC">
                            <w:pPr>
                              <w:pStyle w:val="49"/>
                              <w:rPr>
                                <w:rFonts w:ascii="黑体"/>
                              </w:rPr>
                            </w:pPr>
                            <w:r>
                              <w:rPr>
                                <w:rFonts w:ascii="Arial" w:hAnsi="Arial" w:cs="Arial"/>
                                <w:color w:val="000000"/>
                                <w:kern w:val="2"/>
                              </w:rPr>
                              <w:t>20</w:t>
                            </w:r>
                            <w:r>
                              <w:rPr>
                                <w:rFonts w:ascii="Arial" w:hAnsi="Arial" w:cs="Arial"/>
                                <w:bCs/>
                                <w:szCs w:val="22"/>
                              </w:rPr>
                              <w:t>2</w:t>
                            </w:r>
                            <w:r>
                              <w:rPr>
                                <w:rFonts w:hint="eastAsia" w:ascii="Arial" w:hAnsi="Arial" w:cs="Arial"/>
                                <w:bCs/>
                                <w:szCs w:val="22"/>
                              </w:rPr>
                              <w:t>4</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91pt;margin-top:619.8pt;height:24.6pt;width:159pt;mso-position-horizontal-relative:margin;mso-position-vertical-relative:margin;z-index:251665408;mso-width-relative:page;mso-height-relative:page;" fillcolor="#FFFFFF" filled="t" stroked="f" coordsize="21600,21600" o:gfxdata="UEsDBAoAAAAAAIdO4kAAAAAAAAAAAAAAAAAEAAAAZHJzL1BLAwQUAAAACACHTuJAmZQWndoAAAAN&#10;AQAADwAAAGRycy9kb3ducmV2LnhtbE2PwU7DMBBE70j8g7VIXBC1G0TkhjiVaOEGh5aqZzd2k6jx&#10;OrKdpv17tic47sxo9k25vLienW2InUcF85kAZrH2psNGwe7n81kCi0mj0b1Hq+BqIyyr+7tSF8ZP&#10;uLHnbWoYlWAstII2paHgPNatdTrO/GCRvKMPTic6Q8NN0BOVu55nQuTc6Q7pQ6sHu2ptfdqOTkG+&#10;DuO0wdXTevfxpb+HJtu/X/dKPT7MxRuwZC/pLww3fEKHipgOfkQTWa/gVWa0JZGRvSxyYBRZCEHS&#10;4SZJKYFXJf+/ovoFUEsDBBQAAAAIAIdO4kAr3NY1JgIAAD4EAAAOAAAAZHJzL2Uyb0RvYy54bWyt&#10;U82O0zAQviPxDpbvNG0XIaiarpZWRUjLj7TwAI7jJBaOx4zdJssDwBtw4sKd5+pzMLbbsiyXPZBD&#10;NPbMfDPfN+Pl5dgbtlfoNdiSzyZTzpSVUGvblvzjh+2T55z5IGwtDFhV8lvl+eXq8aPl4BZqDh2Y&#10;WiEjEOsXgyt5F4JbFIWXneqFn4BTlpwNYC8CHbEtahQDofemmE+nz4oBsHYIUnlPt5vs5EdEfAgg&#10;NI2WagNy1ysbMioqIwJR8p12nq9St02jZHjXNF4FZkpOTEP6UxGyq/gvVkuxaFG4TstjC+IhLdzj&#10;1AttqegZaiOCYDvU/0D1WiJ4aMJEQl9kIkkRYjGb3tPmphNOJS4ktXdn0f3/g5Vv9++R6Zo2YcaZ&#10;FT1N/PD92+HHr8PPr4zuSKDB+QXF3TiKDONLGCk4kfXuGuQnzyysO2FbdYUIQ6dETQ2mzOJOasbx&#10;EaQa3kBNhcQuQAIaG+yjeqQHI3Qazu15OGoMTNIl6fPiYkouSb6L2fzpPE2vEItTtkMfXinoWTRK&#10;jjT8hC721z4QDwo9hcRiHoyut9qYdMC2Whtke0GLsk1fpE4pf4UZG4MtxLTszjcqrdqxTCQdeWbG&#10;YazGo4gV1LdEHyGvIT1CMjrAL5wNtIIl9593AhVn5rUlCeO+ngw8GdXJEFZSaskDZ9lch7zXO4e6&#10;7Qg5D8nCFcnc6KRAbC13QdzigdYqsTw+gbi3d88p6s+zX/0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ZQWndoAAAANAQAADwAAAAAAAAABACAAAAAiAAAAZHJzL2Rvd25yZXYueG1sUEsBAhQAFAAA&#10;AAgAh07iQCvc1jUmAgAAPgQAAA4AAAAAAAAAAQAgAAAAKQEAAGRycy9lMm9Eb2MueG1sUEsFBgAA&#10;AAAGAAYAWQEAAMEFAAAAAA==&#10;">
                <v:fill on="t" focussize="0,0"/>
                <v:stroke on="f"/>
                <v:imagedata o:title=""/>
                <o:lock v:ext="edit" aspectratio="f"/>
                <v:textbox inset="0mm,0mm,0mm,0mm">
                  <w:txbxContent>
                    <w:p w14:paraId="4E257CAC">
                      <w:pPr>
                        <w:pStyle w:val="49"/>
                        <w:rPr>
                          <w:rFonts w:ascii="黑体"/>
                        </w:rPr>
                      </w:pPr>
                      <w:r>
                        <w:rPr>
                          <w:rFonts w:ascii="Arial" w:hAnsi="Arial" w:cs="Arial"/>
                          <w:color w:val="000000"/>
                          <w:kern w:val="2"/>
                        </w:rPr>
                        <w:t>20</w:t>
                      </w:r>
                      <w:r>
                        <w:rPr>
                          <w:rFonts w:ascii="Arial" w:hAnsi="Arial" w:cs="Arial"/>
                          <w:bCs/>
                          <w:szCs w:val="22"/>
                        </w:rPr>
                        <w:t>2</w:t>
                      </w:r>
                      <w:r>
                        <w:rPr>
                          <w:rFonts w:hint="eastAsia" w:ascii="Arial" w:hAnsi="Arial" w:cs="Arial"/>
                          <w:bCs/>
                          <w:szCs w:val="22"/>
                        </w:rPr>
                        <w:t>4</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实施</w:t>
                      </w:r>
                    </w:p>
                  </w:txbxContent>
                </v:textbox>
                <w10:anchorlock/>
              </v:shape>
            </w:pict>
          </mc:Fallback>
        </mc:AlternateContent>
      </w:r>
      <w:r>
        <w:rPr>
          <w:color w:val="000000"/>
        </w:rPr>
        <mc:AlternateContent>
          <mc:Choice Requires="wps">
            <w:drawing>
              <wp:anchor distT="0" distB="0" distL="114300" distR="114300" simplePos="0" relativeHeight="251666432" behindDoc="0" locked="1" layoutInCell="1" allowOverlap="1">
                <wp:simplePos x="0" y="0"/>
                <wp:positionH relativeFrom="margin">
                  <wp:posOffset>-312420</wp:posOffset>
                </wp:positionH>
                <wp:positionV relativeFrom="margin">
                  <wp:posOffset>7897495</wp:posOffset>
                </wp:positionV>
                <wp:extent cx="2019300" cy="312420"/>
                <wp:effectExtent l="0" t="0" r="0" b="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3F7FC1F7">
                            <w:pPr>
                              <w:pStyle w:val="50"/>
                              <w:rPr>
                                <w:rFonts w:ascii="黑体"/>
                              </w:rPr>
                            </w:pPr>
                            <w:r>
                              <w:rPr>
                                <w:rFonts w:ascii="Arial" w:hAnsi="Arial" w:cs="Arial"/>
                                <w:color w:val="000000"/>
                                <w:kern w:val="2"/>
                              </w:rPr>
                              <w:t>20</w:t>
                            </w:r>
                            <w:r>
                              <w:rPr>
                                <w:rFonts w:ascii="Arial" w:hAnsi="Arial" w:cs="Arial"/>
                                <w:bCs/>
                                <w:szCs w:val="22"/>
                              </w:rPr>
                              <w:t>2</w:t>
                            </w:r>
                            <w:r>
                              <w:rPr>
                                <w:rFonts w:hint="eastAsia" w:ascii="Arial" w:hAnsi="Arial" w:cs="Arial"/>
                                <w:bCs/>
                                <w:szCs w:val="22"/>
                              </w:rPr>
                              <w:t>4</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6pt;margin-top:621.85pt;height:24.6pt;width:159pt;mso-position-horizontal-relative:margin;mso-position-vertical-relative:margin;z-index:251666432;mso-width-relative:page;mso-height-relative:page;" fillcolor="#FFFFFF" filled="t" stroked="f" coordsize="21600,21600" o:gfxdata="UEsDBAoAAAAAAIdO4kAAAAAAAAAAAAAAAAAEAAAAZHJzL1BLAwQUAAAACACHTuJAXhrkDtsAAAAN&#10;AQAADwAAAGRycy9kb3ducmV2LnhtbE2PwW7CMBBE75X6D9ZW6qUCBxelJMRBKrS39gBFnE3sJhHx&#10;OrIdAn/f5VSOO/M0O1OsLrZjZ+ND61DCbJoAM1g53WItYf/zOVkAC1GhVp1DI+FqAqzKx4dC5dqN&#10;uDXnXawZhWDIlYQmxj7nPFSNsSpMXW+QvF/nrYp0+pprr0YKtx0XSZJyq1qkD43qzbox1Wk3WAnp&#10;xg/jFtcvm/3Hl/rua3F4vx6kfH6aJUtg0VziPwy3+lQdSup0dAPqwDoJk3kmCCVDzF/fgBEi0gWt&#10;Od6kTGTAy4Lfryj/AFBLAwQUAAAACACHTuJAnSE9CSQCAAA+BAAADgAAAGRycy9lMm9Eb2MueG1s&#10;rVPNjtMwEL4j8Q6W7zRtFyGImq6WVkVIy4+08ACu4yQWjseM3SblAeANOO2FO8/V52DspGVVLnsg&#10;h2g8nvlmvm/Gi+u+NWyv0GuwBZ9NppwpK6HUti7450+bZy8580HYUhiwquAH5fn18umTRedyNYcG&#10;TKmQEYj1eecK3oTg8izzslGt8BNwytJlBdiKQEessxJFR+ityebT6YusAywdglTek3c9XPIRER8D&#10;CFWlpVqD3LXKhgEVlRGBKPlGO8+XqduqUjJ8qCqvAjMFJ6Yh/akI2dv4z5YLkdcoXKPl2IJ4TAsX&#10;nFqhLRU9Q61FEGyH+h+oVksED1WYSGizgUhShFjMphfa3DXCqcSFpPbuLLr/f7Dy/f4jMl3SJpAk&#10;VrQ08ePPH8f738df3xn5SKDO+Zzi7hxFhv419BScyHp3C/KLZxZWjbC1ukGErlGipAZnMTN7kDrg&#10;+Aiy7d5BSYXELkAC6itso3qkByN06uRwHo7qA5PkJH1eXU3pStLd1Wz+fJ6ay0R+ynbowxsFLYtG&#10;wZGGn9DF/taH2I3ITyGxmAejy402Jh2w3q4Msr2gRdmkLxG4CDM2BluIaQPi4FFp1cYykXTkOTAO&#10;/bYfRdxCeSD6CMMa0iMkowH8xllHK1hw/3UnUHFm3lqSkLiGk4EnY3syhJWUWvDA2WCuwrDXO4e6&#10;bgh5GJKFG5K50kmB2NrQxTgcWqskzPgE4t4+PKeov89++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eGuQO2wAAAA0BAAAPAAAAAAAAAAEAIAAAACIAAABkcnMvZG93bnJldi54bWxQSwECFAAUAAAA&#10;CACHTuJAnSE9CSQCAAA+BAAADgAAAAAAAAABACAAAAAqAQAAZHJzL2Uyb0RvYy54bWxQSwUGAAAA&#10;AAYABgBZAQAAwAUAAAAA&#10;">
                <v:fill on="t" focussize="0,0"/>
                <v:stroke on="f"/>
                <v:imagedata o:title=""/>
                <o:lock v:ext="edit" aspectratio="f"/>
                <v:textbox inset="0mm,0mm,0mm,0mm">
                  <w:txbxContent>
                    <w:p w14:paraId="3F7FC1F7">
                      <w:pPr>
                        <w:pStyle w:val="50"/>
                        <w:rPr>
                          <w:rFonts w:ascii="黑体"/>
                        </w:rPr>
                      </w:pPr>
                      <w:r>
                        <w:rPr>
                          <w:rFonts w:ascii="Arial" w:hAnsi="Arial" w:cs="Arial"/>
                          <w:color w:val="000000"/>
                          <w:kern w:val="2"/>
                        </w:rPr>
                        <w:t>20</w:t>
                      </w:r>
                      <w:r>
                        <w:rPr>
                          <w:rFonts w:ascii="Arial" w:hAnsi="Arial" w:cs="Arial"/>
                          <w:bCs/>
                          <w:szCs w:val="22"/>
                        </w:rPr>
                        <w:t>2</w:t>
                      </w:r>
                      <w:r>
                        <w:rPr>
                          <w:rFonts w:hint="eastAsia" w:ascii="Arial" w:hAnsi="Arial" w:cs="Arial"/>
                          <w:bCs/>
                          <w:szCs w:val="22"/>
                        </w:rPr>
                        <w:t>4</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发布</w:t>
                      </w:r>
                    </w:p>
                  </w:txbxContent>
                </v:textbox>
                <w10:anchorlock/>
              </v:shape>
            </w:pict>
          </mc:Fallback>
        </mc:AlternateContent>
      </w:r>
      <w:bookmarkStart w:id="58" w:name="_GoBack"/>
      <w:bookmarkEnd w:id="58"/>
      <w:r>
        <w:rPr>
          <w:color w:val="000000"/>
        </w:rPr>
        <mc:AlternateContent>
          <mc:Choice Requires="wps">
            <w:drawing>
              <wp:anchor distT="0" distB="0" distL="114300" distR="114300" simplePos="0" relativeHeight="251664384" behindDoc="0" locked="1" layoutInCell="1" allowOverlap="1">
                <wp:simplePos x="0" y="0"/>
                <wp:positionH relativeFrom="margin">
                  <wp:posOffset>-450215</wp:posOffset>
                </wp:positionH>
                <wp:positionV relativeFrom="margin">
                  <wp:posOffset>3178810</wp:posOffset>
                </wp:positionV>
                <wp:extent cx="6304280" cy="4275455"/>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6304280" cy="4275455"/>
                        </a:xfrm>
                        <a:prstGeom prst="rect">
                          <a:avLst/>
                        </a:prstGeom>
                        <a:solidFill>
                          <a:srgbClr val="FFFFFF"/>
                        </a:solidFill>
                        <a:ln>
                          <a:noFill/>
                        </a:ln>
                        <a:effectLst/>
                      </wps:spPr>
                      <wps:txbx>
                        <w:txbxContent>
                          <w:p w14:paraId="0B8C6ABC">
                            <w:pPr>
                              <w:pStyle w:val="52"/>
                              <w:numPr>
                                <w:ilvl w:val="6"/>
                                <w:numId w:val="0"/>
                              </w:numPr>
                              <w:rPr>
                                <w:rFonts w:ascii="黑体" w:eastAsia="黑体"/>
                                <w:sz w:val="52"/>
                                <w:szCs w:val="52"/>
                              </w:rPr>
                            </w:pPr>
                            <w:r>
                              <w:rPr>
                                <w:rFonts w:hint="eastAsia" w:ascii="黑体" w:eastAsia="黑体" w:cs="黑体"/>
                                <w:sz w:val="52"/>
                                <w:szCs w:val="52"/>
                              </w:rPr>
                              <w:t>防汛抗旱特征水位核定规程</w:t>
                            </w:r>
                          </w:p>
                          <w:p w14:paraId="24E777A7">
                            <w:pPr>
                              <w:pStyle w:val="52"/>
                              <w:numPr>
                                <w:ilvl w:val="6"/>
                                <w:numId w:val="0"/>
                              </w:numPr>
                              <w:adjustRightInd w:val="0"/>
                              <w:snapToGrid w:val="0"/>
                              <w:spacing w:before="0"/>
                              <w:ind w:left="4047"/>
                              <w:rPr>
                                <w:rFonts w:ascii="黑体" w:eastAsia="黑体"/>
                              </w:rPr>
                            </w:pPr>
                          </w:p>
                          <w:p w14:paraId="5EE614D6">
                            <w:pPr>
                              <w:pStyle w:val="52"/>
                              <w:numPr>
                                <w:ilvl w:val="6"/>
                                <w:numId w:val="0"/>
                              </w:numPr>
                              <w:adjustRightInd w:val="0"/>
                              <w:snapToGrid w:val="0"/>
                              <w:rPr>
                                <w:rFonts w:eastAsia="黑体"/>
                                <w:sz w:val="32"/>
                                <w:szCs w:val="32"/>
                              </w:rPr>
                            </w:pPr>
                            <w:r>
                              <w:rPr>
                                <w:rFonts w:hint="eastAsia" w:eastAsia="黑体"/>
                                <w:sz w:val="32"/>
                                <w:szCs w:val="32"/>
                              </w:rPr>
                              <w:t>Regul</w:t>
                            </w:r>
                            <w:r>
                              <w:rPr>
                                <w:rFonts w:eastAsia="黑体"/>
                                <w:sz w:val="32"/>
                                <w:szCs w:val="32"/>
                              </w:rPr>
                              <w:t>ation for flood and drought defense water level determination</w:t>
                            </w:r>
                          </w:p>
                          <w:p w14:paraId="3BBA4769">
                            <w:pPr>
                              <w:pStyle w:val="52"/>
                              <w:numPr>
                                <w:ilvl w:val="6"/>
                                <w:numId w:val="0"/>
                              </w:numPr>
                              <w:adjustRightInd w:val="0"/>
                              <w:snapToGrid w:val="0"/>
                              <w:rPr>
                                <w:rFonts w:eastAsia="黑体"/>
                                <w:sz w:val="32"/>
                                <w:szCs w:val="32"/>
                              </w:rPr>
                            </w:pPr>
                            <w:r>
                              <w:rPr>
                                <w:rFonts w:hint="eastAsia" w:eastAsia="黑体"/>
                                <w:sz w:val="32"/>
                                <w:szCs w:val="32"/>
                              </w:rPr>
                              <w:t>（</w:t>
                            </w:r>
                            <w:r>
                              <w:rPr>
                                <w:rFonts w:hint="eastAsia" w:eastAsia="黑体"/>
                                <w:sz w:val="32"/>
                                <w:szCs w:val="32"/>
                                <w:lang w:val="en-US" w:eastAsia="zh-CN"/>
                              </w:rPr>
                              <w:t>公示稿</w:t>
                            </w:r>
                            <w:r>
                              <w:rPr>
                                <w:rFonts w:hint="eastAsia" w:eastAsia="黑体"/>
                                <w:sz w:val="32"/>
                                <w:szCs w:val="32"/>
                              </w:rPr>
                              <w:t>）</w:t>
                            </w:r>
                          </w:p>
                          <w:p w14:paraId="74524FAC">
                            <w:pPr>
                              <w:pStyle w:val="52"/>
                              <w:numPr>
                                <w:ilvl w:val="6"/>
                                <w:numId w:val="0"/>
                              </w:numPr>
                              <w:adjustRightInd w:val="0"/>
                              <w:snapToGrid w:val="0"/>
                              <w:spacing w:before="0"/>
                              <w:jc w:val="both"/>
                              <w:rPr>
                                <w:rFonts w:ascii="黑体" w:eastAsia="黑体"/>
                              </w:rPr>
                            </w:pPr>
                          </w:p>
                          <w:p w14:paraId="14C77319">
                            <w:pPr>
                              <w:pStyle w:val="52"/>
                              <w:numPr>
                                <w:ilvl w:val="6"/>
                                <w:numId w:val="0"/>
                              </w:numPr>
                              <w:adjustRightInd w:val="0"/>
                              <w:snapToGrid w:val="0"/>
                              <w:spacing w:before="0" w:line="240" w:lineRule="auto"/>
                              <w:rPr>
                                <w:rFonts w:ascii="黑体" w:eastAsia="黑体"/>
                                <w:sz w:val="32"/>
                                <w:szCs w:val="32"/>
                              </w:rPr>
                            </w:pPr>
                            <w:r>
                              <w:rPr>
                                <w:rFonts w:hint="eastAsia" w:ascii="黑体" w:eastAsia="黑体" w:cs="黑体"/>
                                <w:sz w:val="32"/>
                                <w:szCs w:val="32"/>
                              </w:rPr>
                              <w:t xml:space="preserve"> </w:t>
                            </w:r>
                          </w:p>
                          <w:p w14:paraId="42973211">
                            <w:pPr>
                              <w:pStyle w:val="52"/>
                              <w:numPr>
                                <w:ilvl w:val="6"/>
                                <w:numId w:val="0"/>
                              </w:numPr>
                              <w:spacing w:before="0"/>
                              <w:ind w:left="4047"/>
                              <w:jc w:val="both"/>
                              <w:rPr>
                                <w:rFonts w:ascii="黑体" w:eastAsia="黑体"/>
                                <w:b/>
                                <w:bCs/>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45pt;margin-top:250.3pt;height:336.65pt;width:496.4pt;mso-position-horizontal-relative:margin;mso-position-vertical-relative:margin;z-index:251664384;mso-width-relative:page;mso-height-relative:page;" fillcolor="#FFFFFF" filled="t" stroked="f" coordsize="21600,21600" o:gfxdata="UEsDBAoAAAAAAIdO4kAAAAAAAAAAAAAAAAAEAAAAZHJzL1BLAwQUAAAACACHTuJAn82w39kAAAAM&#10;AQAADwAAAGRycy9kb3ducmV2LnhtbE2PwU7DMAyG70i8Q2QkLmhLWsRGS9NJbHCDw8a0c9aYtqJx&#10;qiZdt7fHnNjR9qf//1yszq4TJxxC60lDMlcgkCpvW6o17L/eZ88gQjRkTecJNVwwwKq8vSlMbv1E&#10;WzztYi04hEJuNDQx9rmUoWrQmTD3PRLfvv3gTORxqKUdzMThrpOpUgvpTEvc0Jge1w1WP7vRaVhs&#10;hnHa0vphs3/7MJ99nR5eLwet7+8S9QIi4jn+w/Cnz+pQstPRj2SD6DTMlipjVMMT14BgIksT3hwZ&#10;TZaPGciykNdPlL9QSwMEFAAAAAgAh07iQAuG3z0oAgAAPQQAAA4AAABkcnMvZTJvRG9jLnhtbK1T&#10;zY7TMBC+I/EOlu80bWmX3ajpamlVhLT8SAsP4DhOY5F4zNhtUh4A3oATF+48V5+DsZOWZbnsgRyi&#10;sWfmm/m+GS+uu6Zme4VOg8n4ZDTmTBkJhTbbjH/8sHl2yZnzwhSiBqMyflCOXy+fPlm0NlVTqKAu&#10;FDICMS5tbcYr722aJE5WqhFuBFYZcpaAjfB0xG1SoGgJvamT6Xh8kbSAhUWQyjm6XfdOPiDiYwCh&#10;LLVUa5C7Rhnfo6KqhSdKrtLW8WXstiyV9O/K0inP6owTUx//VITsPPyT5UKkWxS20nJoQTymhQec&#10;GqENFT1DrYUXbIf6H6hGSwQHpR9JaJKeSFSEWEzGD7S5q4RVkQtJ7exZdPf/YOXb/Xtkusj4FWdG&#10;NDTw4/dvxx+/jj+/sqsgT2tdSlF3luJ89xI6WppI1dlbkJ8cM7CqhNmqG0RoKyUKam8SMpN7qT2O&#10;CyB5+wYKqiN2HiJQV2ITtCM1GKHTaA7n0ajOM0mXF8/Hs+kluST5ZtMX89l8HmuI9JRu0flXChoW&#10;jIwjzT7Ci/2t86EdkZ5CQjUHtS42uq7jAbf5qka2F7Qnm/gN6H+F1SYEGwhpPWJ/o+KmDWUC60C0&#10;p+y7vBtUzKE4EH+EfgvpDZJRAX7hrKUNzLj7vBOoOKtfG9IwrOvJwJORnwxhJKVm3HPWmyvfr/XO&#10;ot5WhNxPycAN6VzqqEBore9imA5tVRRmeAFhbe+fY9SfV7/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NsN/ZAAAADAEAAA8AAAAAAAAAAQAgAAAAIgAAAGRycy9kb3ducmV2LnhtbFBLAQIUABQA&#10;AAAIAIdO4kALht89KAIAAD0EAAAOAAAAAAAAAAEAIAAAACgBAABkcnMvZTJvRG9jLnhtbFBLBQYA&#10;AAAABgAGAFkBAADCBQAAAAA=&#10;">
                <v:fill on="t" focussize="0,0"/>
                <v:stroke on="f"/>
                <v:imagedata o:title=""/>
                <o:lock v:ext="edit" aspectratio="f"/>
                <v:textbox inset="0mm,0mm,0mm,0mm">
                  <w:txbxContent>
                    <w:p w14:paraId="0B8C6ABC">
                      <w:pPr>
                        <w:pStyle w:val="52"/>
                        <w:numPr>
                          <w:ilvl w:val="6"/>
                          <w:numId w:val="0"/>
                        </w:numPr>
                        <w:rPr>
                          <w:rFonts w:ascii="黑体" w:eastAsia="黑体"/>
                          <w:sz w:val="52"/>
                          <w:szCs w:val="52"/>
                        </w:rPr>
                      </w:pPr>
                      <w:r>
                        <w:rPr>
                          <w:rFonts w:hint="eastAsia" w:ascii="黑体" w:eastAsia="黑体" w:cs="黑体"/>
                          <w:sz w:val="52"/>
                          <w:szCs w:val="52"/>
                        </w:rPr>
                        <w:t>防汛抗旱特征水位核定规程</w:t>
                      </w:r>
                    </w:p>
                    <w:p w14:paraId="24E777A7">
                      <w:pPr>
                        <w:pStyle w:val="52"/>
                        <w:numPr>
                          <w:ilvl w:val="6"/>
                          <w:numId w:val="0"/>
                        </w:numPr>
                        <w:adjustRightInd w:val="0"/>
                        <w:snapToGrid w:val="0"/>
                        <w:spacing w:before="0"/>
                        <w:ind w:left="4047"/>
                        <w:rPr>
                          <w:rFonts w:ascii="黑体" w:eastAsia="黑体"/>
                        </w:rPr>
                      </w:pPr>
                    </w:p>
                    <w:p w14:paraId="5EE614D6">
                      <w:pPr>
                        <w:pStyle w:val="52"/>
                        <w:numPr>
                          <w:ilvl w:val="6"/>
                          <w:numId w:val="0"/>
                        </w:numPr>
                        <w:adjustRightInd w:val="0"/>
                        <w:snapToGrid w:val="0"/>
                        <w:rPr>
                          <w:rFonts w:eastAsia="黑体"/>
                          <w:sz w:val="32"/>
                          <w:szCs w:val="32"/>
                        </w:rPr>
                      </w:pPr>
                      <w:r>
                        <w:rPr>
                          <w:rFonts w:hint="eastAsia" w:eastAsia="黑体"/>
                          <w:sz w:val="32"/>
                          <w:szCs w:val="32"/>
                        </w:rPr>
                        <w:t>Regul</w:t>
                      </w:r>
                      <w:r>
                        <w:rPr>
                          <w:rFonts w:eastAsia="黑体"/>
                          <w:sz w:val="32"/>
                          <w:szCs w:val="32"/>
                        </w:rPr>
                        <w:t>ation for flood and drought defense water level determination</w:t>
                      </w:r>
                    </w:p>
                    <w:p w14:paraId="3BBA4769">
                      <w:pPr>
                        <w:pStyle w:val="52"/>
                        <w:numPr>
                          <w:ilvl w:val="6"/>
                          <w:numId w:val="0"/>
                        </w:numPr>
                        <w:adjustRightInd w:val="0"/>
                        <w:snapToGrid w:val="0"/>
                        <w:rPr>
                          <w:rFonts w:eastAsia="黑体"/>
                          <w:sz w:val="32"/>
                          <w:szCs w:val="32"/>
                        </w:rPr>
                      </w:pPr>
                      <w:r>
                        <w:rPr>
                          <w:rFonts w:hint="eastAsia" w:eastAsia="黑体"/>
                          <w:sz w:val="32"/>
                          <w:szCs w:val="32"/>
                        </w:rPr>
                        <w:t>（</w:t>
                      </w:r>
                      <w:r>
                        <w:rPr>
                          <w:rFonts w:hint="eastAsia" w:eastAsia="黑体"/>
                          <w:sz w:val="32"/>
                          <w:szCs w:val="32"/>
                          <w:lang w:val="en-US" w:eastAsia="zh-CN"/>
                        </w:rPr>
                        <w:t>公示稿</w:t>
                      </w:r>
                      <w:r>
                        <w:rPr>
                          <w:rFonts w:hint="eastAsia" w:eastAsia="黑体"/>
                          <w:sz w:val="32"/>
                          <w:szCs w:val="32"/>
                        </w:rPr>
                        <w:t>）</w:t>
                      </w:r>
                    </w:p>
                    <w:p w14:paraId="74524FAC">
                      <w:pPr>
                        <w:pStyle w:val="52"/>
                        <w:numPr>
                          <w:ilvl w:val="6"/>
                          <w:numId w:val="0"/>
                        </w:numPr>
                        <w:adjustRightInd w:val="0"/>
                        <w:snapToGrid w:val="0"/>
                        <w:spacing w:before="0"/>
                        <w:jc w:val="both"/>
                        <w:rPr>
                          <w:rFonts w:ascii="黑体" w:eastAsia="黑体"/>
                        </w:rPr>
                      </w:pPr>
                    </w:p>
                    <w:p w14:paraId="14C77319">
                      <w:pPr>
                        <w:pStyle w:val="52"/>
                        <w:numPr>
                          <w:ilvl w:val="6"/>
                          <w:numId w:val="0"/>
                        </w:numPr>
                        <w:adjustRightInd w:val="0"/>
                        <w:snapToGrid w:val="0"/>
                        <w:spacing w:before="0" w:line="240" w:lineRule="auto"/>
                        <w:rPr>
                          <w:rFonts w:ascii="黑体" w:eastAsia="黑体"/>
                          <w:sz w:val="32"/>
                          <w:szCs w:val="32"/>
                        </w:rPr>
                      </w:pPr>
                      <w:r>
                        <w:rPr>
                          <w:rFonts w:hint="eastAsia" w:ascii="黑体" w:eastAsia="黑体" w:cs="黑体"/>
                          <w:sz w:val="32"/>
                          <w:szCs w:val="32"/>
                        </w:rPr>
                        <w:t xml:space="preserve"> </w:t>
                      </w:r>
                    </w:p>
                    <w:p w14:paraId="42973211">
                      <w:pPr>
                        <w:pStyle w:val="52"/>
                        <w:numPr>
                          <w:ilvl w:val="6"/>
                          <w:numId w:val="0"/>
                        </w:numPr>
                        <w:spacing w:before="0"/>
                        <w:ind w:left="4047"/>
                        <w:jc w:val="both"/>
                        <w:rPr>
                          <w:rFonts w:ascii="黑体" w:eastAsia="黑体"/>
                          <w:b/>
                          <w:bCs/>
                        </w:rPr>
                      </w:pPr>
                    </w:p>
                  </w:txbxContent>
                </v:textbox>
                <w10:anchorlock/>
              </v:shape>
            </w:pict>
          </mc:Fallback>
        </mc:AlternateContent>
      </w:r>
      <w:r>
        <w:rPr>
          <w:color w:val="000000"/>
        </w:rPr>
        <mc:AlternateContent>
          <mc:Choice Requires="wps">
            <w:drawing>
              <wp:anchor distT="0" distB="0" distL="114300" distR="114300" simplePos="0" relativeHeight="251663360" behindDoc="0" locked="1" layoutInCell="1" allowOverlap="1">
                <wp:simplePos x="0" y="0"/>
                <wp:positionH relativeFrom="margin">
                  <wp:posOffset>-46990</wp:posOffset>
                </wp:positionH>
                <wp:positionV relativeFrom="margin">
                  <wp:posOffset>1673225</wp:posOffset>
                </wp:positionV>
                <wp:extent cx="5802630" cy="690245"/>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690245"/>
                        </a:xfrm>
                        <a:prstGeom prst="rect">
                          <a:avLst/>
                        </a:prstGeom>
                        <a:solidFill>
                          <a:srgbClr val="FFFFFF"/>
                        </a:solidFill>
                        <a:ln>
                          <a:noFill/>
                        </a:ln>
                        <a:effectLst/>
                      </wps:spPr>
                      <wps:txbx>
                        <w:txbxContent>
                          <w:p w14:paraId="6D3EF415">
                            <w:pPr>
                              <w:kinsoku w:val="0"/>
                              <w:wordWrap w:val="0"/>
                              <w:overflowPunct w:val="0"/>
                              <w:autoSpaceDE w:val="0"/>
                              <w:autoSpaceDN w:val="0"/>
                              <w:spacing w:before="308"/>
                              <w:jc w:val="right"/>
                              <w:textAlignment w:val="center"/>
                              <w:rPr>
                                <w:rFonts w:ascii="Arial" w:hAnsi="Arial" w:eastAsia="黑体" w:cs="Arial"/>
                                <w:bCs/>
                                <w:sz w:val="28"/>
                                <w:szCs w:val="22"/>
                              </w:rPr>
                            </w:pPr>
                            <w:r>
                              <w:rPr>
                                <w:rFonts w:ascii="Times New Roman" w:eastAsia="黑体"/>
                                <w:bCs/>
                                <w:sz w:val="28"/>
                                <w:szCs w:val="22"/>
                              </w:rPr>
                              <w:t>DB</w:t>
                            </w:r>
                            <w:r>
                              <w:rPr>
                                <w:rFonts w:ascii="Arial" w:hAnsi="Arial" w:eastAsia="黑体" w:cs="Arial"/>
                                <w:bCs/>
                                <w:sz w:val="28"/>
                                <w:szCs w:val="22"/>
                              </w:rPr>
                              <w:t>32</w:t>
                            </w:r>
                            <w:r>
                              <w:rPr>
                                <w:rFonts w:hint="eastAsia" w:ascii="黑体" w:eastAsia="黑体"/>
                                <w:bCs/>
                                <w:sz w:val="28"/>
                                <w:szCs w:val="22"/>
                              </w:rPr>
                              <w:t>/</w:t>
                            </w:r>
                            <w:r>
                              <w:rPr>
                                <w:rFonts w:ascii="Times New Roman" w:eastAsia="黑体"/>
                                <w:bCs/>
                                <w:sz w:val="28"/>
                                <w:szCs w:val="22"/>
                              </w:rPr>
                              <w:t>T</w:t>
                            </w:r>
                            <w:r>
                              <w:rPr>
                                <w:rFonts w:hint="eastAsia" w:ascii="Arial" w:hAnsi="Arial" w:eastAsia="黑体" w:cs="Arial"/>
                                <w:bCs/>
                                <w:sz w:val="28"/>
                                <w:szCs w:val="22"/>
                              </w:rPr>
                              <w:t xml:space="preserve"> XXXX</w:t>
                            </w:r>
                            <w:r>
                              <w:rPr>
                                <w:rFonts w:ascii="Arial" w:hAnsi="Arial" w:eastAsia="黑体" w:cs="Arial"/>
                                <w:bCs/>
                                <w:sz w:val="28"/>
                                <w:szCs w:val="22"/>
                              </w:rPr>
                              <w:t>—202</w:t>
                            </w:r>
                            <w:r>
                              <w:rPr>
                                <w:rFonts w:hint="eastAsia" w:ascii="Arial" w:hAnsi="Arial" w:eastAsia="黑体" w:cs="Arial"/>
                                <w:bCs/>
                                <w:sz w:val="28"/>
                                <w:szCs w:val="22"/>
                              </w:rPr>
                              <w:t>4</w:t>
                            </w:r>
                          </w:p>
                          <w:p w14:paraId="2326BF1E">
                            <w:pPr>
                              <w:kinsoku w:val="0"/>
                              <w:overflowPunct w:val="0"/>
                              <w:autoSpaceDE w:val="0"/>
                              <w:autoSpaceDN w:val="0"/>
                              <w:spacing w:before="308"/>
                              <w:jc w:val="right"/>
                              <w:textAlignment w:val="center"/>
                              <w:rPr>
                                <w:rFonts w:ascii="Arial" w:hAnsi="Arial" w:eastAsia="黑体" w:cs="Arial"/>
                                <w:bCs/>
                                <w:sz w:val="28"/>
                                <w:szCs w:val="22"/>
                              </w:rPr>
                            </w:pPr>
                          </w:p>
                          <w:p w14:paraId="207EB48C">
                            <w:pPr>
                              <w:pStyle w:val="55"/>
                              <w:numPr>
                                <w:ilvl w:val="1"/>
                                <w:numId w:val="0"/>
                              </w:numPr>
                              <w:wordWrap w:val="0"/>
                              <w:spacing w:before="100" w:beforeAutospacing="1"/>
                              <w:ind w:left="4047"/>
                              <w:rPr>
                                <w:rFonts w:ascii="黑体" w:eastAsia="黑体" w:cs="黑体"/>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7pt;margin-top:131.75pt;height:54.35pt;width:456.9pt;mso-position-horizontal-relative:margin;mso-position-vertical-relative:margin;z-index:251663360;mso-width-relative:page;mso-height-relative:page;" fillcolor="#FFFFFF" filled="t" stroked="f" coordsize="21600,21600" o:gfxdata="UEsDBAoAAAAAAIdO4kAAAAAAAAAAAAAAAAAEAAAAZHJzL1BLAwQUAAAACACHTuJAaNnwy9oAAAAK&#10;AQAADwAAAGRycy9kb3ducmV2LnhtbE2Py07DMBBF90j8gzVIbFBr14W0hDiVaGEHiz7U9TQ2SUQ8&#10;jmynaf8es4LlzBzdObdYXWzHzsaH1pGC2VQAM1Q53VKt4LB/nyyBhYiksXNkFFxNgFV5e1Ngrt1I&#10;W3PexZqlEAo5Kmhi7HPOQ9UYi2HqekPp9uW8xZhGX3PtcUzhtuNSiIxbbCl9aLA368ZU37vBKsg2&#10;fhi3tH7YHN4+8LOv5fH1elTq/m4mXoBFc4l/MPzqJ3Uok9PJDaQD6xRMFo+JVCCz+ROwBDyLLG1O&#10;CuYLKYGXBf9fofwBUEsDBBQAAAAIAIdO4kBi7nd8JgIAADwEAAAOAAAAZHJzL2Uyb0RvYy54bWyt&#10;U82O0zAQviPxDpbvNG1hqyVqulpaFSEtP9LCAziOk1gkHjN2m5QHgDfYExfuPFefg7GTlmW57IEc&#10;orFn5pv5vhkvr/q2YXuFToPJ+Gwy5UwZCYU2VcY/fdw+u+TMeWEK0YBRGT8ox69WT58sO5uqOdTQ&#10;FAoZgRiXdjbjtfc2TRIna9UKNwGrDDlLwFZ4OmKVFCg6Qm+bZD6dLpIOsLAIUjlHt5vByUdEfAwg&#10;lKWWagNy1yrjB1RUjfBEydXaOr6K3Zalkv59WTrlWZNxYurjn4qQnYd/slqKtEJhay3HFsRjWnjA&#10;qRXaUNEz1EZ4wXao/4FqtURwUPqJhDYZiERFiMVs+kCb21pYFbmQ1M6eRXf/D1a+239ApouM09iN&#10;aGngx7vvxx+/jj+/scsgT2ddSlG3luJ8/wp6WppI1dkbkJ8dM7CuhanUNSJ0tRIFtTcLmcm91AHH&#10;BZC8ewsF1RE7DxGoL7EN2pEajNBpNIfzaFTvmaTLi8vpfPGcXJJ8i5fT+YuLWEKkp2yLzr9W0LJg&#10;ZBxp9BFd7G+cD92I9BQSijlodLHVTRMPWOXrBtle0Jps4zei/xXWmBBsIKQNiMONios2lgmkA8+B&#10;se/zfhQxh+JA9BGGJaQnSEYN+JWzjhYw4+7LTqDirHljSMKwrScDT0Z+MoSRlJpxz9lgrv2w1TuL&#10;uqoJeRiSgWuSudRRgdDa0MU4HFqqKMz4AMLW3j/HqD+Pfv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Nnwy9oAAAAKAQAADwAAAAAAAAABACAAAAAiAAAAZHJzL2Rvd25yZXYueG1sUEsBAhQAFAAA&#10;AAgAh07iQGLud3wmAgAAPAQAAA4AAAAAAAAAAQAgAAAAKQEAAGRycy9lMm9Eb2MueG1sUEsFBgAA&#10;AAAGAAYAWQEAAMEFAAAAAA==&#10;">
                <v:fill on="t" focussize="0,0"/>
                <v:stroke on="f"/>
                <v:imagedata o:title=""/>
                <o:lock v:ext="edit" aspectratio="f"/>
                <v:textbox inset="0mm,0mm,0mm,0mm">
                  <w:txbxContent>
                    <w:p w14:paraId="6D3EF415">
                      <w:pPr>
                        <w:kinsoku w:val="0"/>
                        <w:wordWrap w:val="0"/>
                        <w:overflowPunct w:val="0"/>
                        <w:autoSpaceDE w:val="0"/>
                        <w:autoSpaceDN w:val="0"/>
                        <w:spacing w:before="308"/>
                        <w:jc w:val="right"/>
                        <w:textAlignment w:val="center"/>
                        <w:rPr>
                          <w:rFonts w:ascii="Arial" w:hAnsi="Arial" w:eastAsia="黑体" w:cs="Arial"/>
                          <w:bCs/>
                          <w:sz w:val="28"/>
                          <w:szCs w:val="22"/>
                        </w:rPr>
                      </w:pPr>
                      <w:r>
                        <w:rPr>
                          <w:rFonts w:ascii="Times New Roman" w:eastAsia="黑体"/>
                          <w:bCs/>
                          <w:sz w:val="28"/>
                          <w:szCs w:val="22"/>
                        </w:rPr>
                        <w:t>DB</w:t>
                      </w:r>
                      <w:r>
                        <w:rPr>
                          <w:rFonts w:ascii="Arial" w:hAnsi="Arial" w:eastAsia="黑体" w:cs="Arial"/>
                          <w:bCs/>
                          <w:sz w:val="28"/>
                          <w:szCs w:val="22"/>
                        </w:rPr>
                        <w:t>32</w:t>
                      </w:r>
                      <w:r>
                        <w:rPr>
                          <w:rFonts w:hint="eastAsia" w:ascii="黑体" w:eastAsia="黑体"/>
                          <w:bCs/>
                          <w:sz w:val="28"/>
                          <w:szCs w:val="22"/>
                        </w:rPr>
                        <w:t>/</w:t>
                      </w:r>
                      <w:r>
                        <w:rPr>
                          <w:rFonts w:ascii="Times New Roman" w:eastAsia="黑体"/>
                          <w:bCs/>
                          <w:sz w:val="28"/>
                          <w:szCs w:val="22"/>
                        </w:rPr>
                        <w:t>T</w:t>
                      </w:r>
                      <w:r>
                        <w:rPr>
                          <w:rFonts w:hint="eastAsia" w:ascii="Arial" w:hAnsi="Arial" w:eastAsia="黑体" w:cs="Arial"/>
                          <w:bCs/>
                          <w:sz w:val="28"/>
                          <w:szCs w:val="22"/>
                        </w:rPr>
                        <w:t xml:space="preserve"> XXXX</w:t>
                      </w:r>
                      <w:r>
                        <w:rPr>
                          <w:rFonts w:ascii="Arial" w:hAnsi="Arial" w:eastAsia="黑体" w:cs="Arial"/>
                          <w:bCs/>
                          <w:sz w:val="28"/>
                          <w:szCs w:val="22"/>
                        </w:rPr>
                        <w:t>—202</w:t>
                      </w:r>
                      <w:r>
                        <w:rPr>
                          <w:rFonts w:hint="eastAsia" w:ascii="Arial" w:hAnsi="Arial" w:eastAsia="黑体" w:cs="Arial"/>
                          <w:bCs/>
                          <w:sz w:val="28"/>
                          <w:szCs w:val="22"/>
                        </w:rPr>
                        <w:t>4</w:t>
                      </w:r>
                    </w:p>
                    <w:p w14:paraId="2326BF1E">
                      <w:pPr>
                        <w:kinsoku w:val="0"/>
                        <w:overflowPunct w:val="0"/>
                        <w:autoSpaceDE w:val="0"/>
                        <w:autoSpaceDN w:val="0"/>
                        <w:spacing w:before="308"/>
                        <w:jc w:val="right"/>
                        <w:textAlignment w:val="center"/>
                        <w:rPr>
                          <w:rFonts w:ascii="Arial" w:hAnsi="Arial" w:eastAsia="黑体" w:cs="Arial"/>
                          <w:bCs/>
                          <w:sz w:val="28"/>
                          <w:szCs w:val="22"/>
                        </w:rPr>
                      </w:pPr>
                    </w:p>
                    <w:p w14:paraId="207EB48C">
                      <w:pPr>
                        <w:pStyle w:val="55"/>
                        <w:numPr>
                          <w:ilvl w:val="1"/>
                          <w:numId w:val="0"/>
                        </w:numPr>
                        <w:wordWrap w:val="0"/>
                        <w:spacing w:before="100" w:beforeAutospacing="1"/>
                        <w:ind w:left="4047"/>
                        <w:rPr>
                          <w:rFonts w:ascii="黑体" w:eastAsia="黑体" w:cs="黑体"/>
                        </w:rPr>
                      </w:pPr>
                    </w:p>
                  </w:txbxContent>
                </v:textbox>
                <w10:anchorlock/>
              </v:shape>
            </w:pict>
          </mc:Fallback>
        </mc:AlternateContent>
      </w:r>
      <w:r>
        <w:rPr>
          <w:color w:val="000000"/>
        </w:rPr>
        <mc:AlternateContent>
          <mc:Choice Requires="wps">
            <w:drawing>
              <wp:anchor distT="0" distB="0" distL="114300" distR="114300" simplePos="0" relativeHeight="251662336" behindDoc="0" locked="1" layoutInCell="1" allowOverlap="1">
                <wp:simplePos x="0" y="0"/>
                <wp:positionH relativeFrom="margin">
                  <wp:posOffset>2019300</wp:posOffset>
                </wp:positionH>
                <wp:positionV relativeFrom="margin">
                  <wp:posOffset>116205</wp:posOffset>
                </wp:positionV>
                <wp:extent cx="3489325" cy="880110"/>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3489325" cy="880110"/>
                        </a:xfrm>
                        <a:prstGeom prst="rect">
                          <a:avLst/>
                        </a:prstGeom>
                        <a:solidFill>
                          <a:srgbClr val="FFFFFF"/>
                        </a:solidFill>
                        <a:ln>
                          <a:noFill/>
                        </a:ln>
                        <a:effectLst/>
                      </wps:spPr>
                      <wps:txbx>
                        <w:txbxContent>
                          <w:p w14:paraId="528BC7C4">
                            <w:pPr>
                              <w:pStyle w:val="54"/>
                            </w:pPr>
                            <w:r>
                              <w:t>DB32</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59pt;margin-top:9.15pt;height:69.3pt;width:274.75pt;mso-position-horizontal-relative:margin;mso-position-vertical-relative:margin;z-index:251662336;mso-width-relative:page;mso-height-relative:page;" fillcolor="#FFFFFF" filled="t" stroked="f" coordsize="21600,21600" o:gfxdata="UEsDBAoAAAAAAIdO4kAAAAAAAAAAAAAAAAAEAAAAZHJzL1BLAwQUAAAACACHTuJASJIkodkAAAAK&#10;AQAADwAAAGRycy9kb3ducmV2LnhtbE2PwU7DMBBE70j8g7VIXBB10qohhDiVaOEGh5aqZzdekoh4&#10;HdlO0/49y4ked2Y0+6ZcnW0vTuhD50hBOktAINXOdNQo2H+9P+YgQtRkdO8IFVwwwKq6vSl1YdxE&#10;WzztYiO4hEKhFbQxDoWUoW7R6jBzAxJ7385bHfn0jTReT1xuezlPkkxa3RF/aPWA6xbrn91oFWQb&#10;P05bWj9s9m8f+nNo5ofXy0Gp+7s0eQER8Rz/w/CHz+hQMdPRjWSC6BUs0py3RDbyBQgO5NnTEsSR&#10;hWX2DLIq5fWE6hdQSwMEFAAAAAgAh07iQO0xPXYmAgAAPAQAAA4AAABkcnMvZTJvRG9jLnhtbK1T&#10;zY7TMBC+I/EOlu807S5UJWq6WloVIS0/0sIDOI6TWCQeM3ablAeAN+DEhTvP1edg7KRlVS57IIdo&#10;bI+/me+bz8ubvm3YXqHTYDI+m0w5U0ZCoU2V8U8ft88WnDkvTCEaMCrjB+X4zerpk2VnU3UFNTSF&#10;QkYgxqWdzXjtvU2TxMlatcJNwCpDhyVgKzwtsUoKFB2ht01yNZ3Okw6wsAhSOUe7m+GQj4j4GEAo&#10;Sy3VBuSuVcYPqKga4YmSq7V1fBW7LUsl/fuydMqzJuPE1Mc/FaE4D/9ktRRphcLWWo4tiMe0cMGp&#10;FdpQ0TPURnjBdqj/gWq1RHBQ+omENhmIREWIxWx6oc19LayKXEhqZ8+iu/8HK9/tPyDTRcbnnBnR&#10;0sCPP74ff/4+/vrG5kGezrqUsu4t5fn+FfRkmkjV2TuQnx0zsK6FqdQtInS1EgW1Nws3kwdXBxwX&#10;QPLuLRRUR+w8RKC+xDZoR2owQqfRHM6jUb1nkjavny9eXl+94EzS2WIxnc3i7BKRnm5bdP61gpaF&#10;IONIo4/oYn/nfOhGpKeUUMxBo4utbpq4wCpfN8j2gmyyjV8kcJHWmJBsIFwbEIcdFY02lgmkA8+B&#10;se/zfhQxh+JA9BEGE9ITpKAG/MpZRwbMuPuyE6g4a94YkjC49RTgKchPgTCSrmbcczaEaz+4emdR&#10;VzUhD0MycEsylzoqEFobuhiHQ6aKwowPILj24Tpm/X30q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IkiSh2QAAAAoBAAAPAAAAAAAAAAEAIAAAACIAAABkcnMvZG93bnJldi54bWxQSwECFAAUAAAA&#10;CACHTuJA7TE9diYCAAA8BAAADgAAAAAAAAABACAAAAAoAQAAZHJzL2Uyb0RvYy54bWxQSwUGAAAA&#10;AAYABgBZAQAAwAUAAAAA&#10;">
                <v:fill on="t" focussize="0,0"/>
                <v:stroke on="f"/>
                <v:imagedata o:title=""/>
                <o:lock v:ext="edit" aspectratio="f"/>
                <v:textbox inset="0mm,0mm,0mm,0mm">
                  <w:txbxContent>
                    <w:p w14:paraId="528BC7C4">
                      <w:pPr>
                        <w:pStyle w:val="54"/>
                      </w:pPr>
                      <w:r>
                        <w:t>DB32</w:t>
                      </w:r>
                    </w:p>
                  </w:txbxContent>
                </v:textbox>
                <w10:anchorlock/>
              </v:shape>
            </w:pict>
          </mc:Fallback>
        </mc:AlternateContent>
      </w:r>
      <w:r>
        <w:rPr>
          <w:color w:val="000000"/>
        </w:rPr>
        <mc:AlternateContent>
          <mc:Choice Requires="wps">
            <w:drawing>
              <wp:anchor distT="0" distB="0" distL="114300" distR="114300" simplePos="0" relativeHeight="251661312" behindDoc="0" locked="1" layoutInCell="1" allowOverlap="1">
                <wp:simplePos x="0" y="0"/>
                <wp:positionH relativeFrom="margin">
                  <wp:posOffset>-270510</wp:posOffset>
                </wp:positionH>
                <wp:positionV relativeFrom="margin">
                  <wp:posOffset>1124585</wp:posOffset>
                </wp:positionV>
                <wp:extent cx="5903595" cy="46609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903595" cy="466090"/>
                        </a:xfrm>
                        <a:prstGeom prst="rect">
                          <a:avLst/>
                        </a:prstGeom>
                        <a:solidFill>
                          <a:srgbClr val="FFFFFF"/>
                        </a:solidFill>
                        <a:ln>
                          <a:noFill/>
                        </a:ln>
                        <a:effectLst/>
                      </wps:spPr>
                      <wps:txbx>
                        <w:txbxContent>
                          <w:p w14:paraId="3723DB93">
                            <w:pPr>
                              <w:pStyle w:val="53"/>
                              <w:rPr>
                                <w:rFonts w:hint="eastAsia" w:cs="Times New Roman"/>
                                <w:w w:val="130"/>
                                <w:sz w:val="48"/>
                                <w:szCs w:val="48"/>
                              </w:rPr>
                            </w:pPr>
                            <w:r>
                              <w:rPr>
                                <w:rFonts w:hint="eastAsia" w:cs="Times New Roman"/>
                                <w:w w:val="120"/>
                                <w:kern w:val="2"/>
                                <w:szCs w:val="22"/>
                              </w:rPr>
                              <w:t>江苏省地方标准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1.3pt;margin-top:88.55pt;height:36.7pt;width:464.85pt;mso-position-horizontal-relative:margin;mso-position-vertical-relative:margin;z-index:251661312;mso-width-relative:page;mso-height-relative:page;" fillcolor="#FFFFFF" filled="t" stroked="f" coordsize="21600,21600" o:gfxdata="UEsDBAoAAAAAAIdO4kAAAAAAAAAAAAAAAAAEAAAAZHJzL1BLAwQUAAAACACHTuJAYmm1/dkAAAAL&#10;AQAADwAAAGRycy9kb3ducmV2LnhtbE2PwW7CMAyG75P2DpEn7TJB0mqUqjRFGmy37QBDnENj2mqN&#10;UyUphbdfOG03W/+n35/L9dX07ILOd5YkJHMBDKm2uqNGwuH7Y5YD80GRVr0llHBDD+vq8aFUhbYT&#10;7fCyDw2LJeQLJaENYSg493WLRvm5HZBidrbOqBBX13Dt1BTLTc9TITJuVEfxQqsG3LRY/+xHIyHb&#10;unHa0eZle3j/VF9Dkx7fbkcpn58SsQIW8Br+YLjrR3WootPJjqQ96yXMXtMsojFYLhNgkcjz+3CS&#10;kC7EAnhV8v8/VL9QSwMEFAAAAAgAh07iQDNT0pMnAgAAPAQAAA4AAABkcnMvZTJvRG9jLnhtbK1T&#10;zY7TMBC+I/EOlu807ZZWNGq6WloVIS0/0sIDOI7TWCQeM3abLA8Ab7AnLtx5rj4HYyctq3LZAzlE&#10;Y3v8zXzffF5ed03NDgqdBpPxyWjMmTISCm12Gf/8afviFWfOC1OIGozK+L1y/Hr1/Nmytam6ggrq&#10;QiEjEOPS1ma88t6mSeJkpRrhRmCVocMSsBGelrhLChQtoTd1cjUez5MWsLAIUjlHu5v+kA+I+BRA&#10;KEst1QbkvlHG96ioauGJkqu0dXwVuy1LJf2HsnTKszrjxNTHPxWhOA//ZLUU6Q6FrbQcWhBPaeGC&#10;UyO0oaJnqI3wgu1R/wPVaIngoPQjCU3SE4mKEIvJ+EKbu0pYFbmQ1M6eRXf/D1a+P3xEpouMTzkz&#10;oqGBHx9+HH/+Pv76zqZBnta6lLLuLOX57jV0ZJpI1dlbkF8cM7CuhNmpG0RoKyUKam8SbiaPrvY4&#10;LoDk7TsoqI7Ye4hAXYlN0I7UYIROo7k/j0Z1nknanC3G09lixpmks5fz+XgRZ5eI9HTbovNvFDQs&#10;BBlHGn1EF4db50M3Ij2lhGIOal1sdV3HBe7ydY3sIMgm2/hFAhdptQnJBsK1HrHfUdFoQ5lAOvDs&#10;Gfsu7wYRcyjuiT5Cb0J6ghRUgN84a8mAGXdf9wIVZ/VbQxIGt54CPAX5KRBG0tWMe876cO17V+8t&#10;6l1FyP2QDNyQzKWOCoTW+i6G4ZCpojDDAwiufbyOWX8f/e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mm1/dkAAAALAQAADwAAAAAAAAABACAAAAAiAAAAZHJzL2Rvd25yZXYueG1sUEsBAhQAFAAA&#10;AAgAh07iQDNT0pMnAgAAPAQAAA4AAAAAAAAAAQAgAAAAKAEAAGRycy9lMm9Eb2MueG1sUEsFBgAA&#10;AAAGAAYAWQEAAMEFAAAAAA==&#10;">
                <v:fill on="t" focussize="0,0"/>
                <v:stroke on="f"/>
                <v:imagedata o:title=""/>
                <o:lock v:ext="edit" aspectratio="f"/>
                <v:textbox inset="0mm,0mm,0mm,0mm">
                  <w:txbxContent>
                    <w:p w14:paraId="3723DB93">
                      <w:pPr>
                        <w:pStyle w:val="53"/>
                        <w:rPr>
                          <w:rFonts w:hint="eastAsia" w:cs="Times New Roman"/>
                          <w:w w:val="130"/>
                          <w:sz w:val="48"/>
                          <w:szCs w:val="48"/>
                        </w:rPr>
                      </w:pPr>
                      <w:r>
                        <w:rPr>
                          <w:rFonts w:hint="eastAsia" w:cs="Times New Roman"/>
                          <w:w w:val="120"/>
                          <w:kern w:val="2"/>
                          <w:szCs w:val="22"/>
                        </w:rPr>
                        <w:t>江苏省地方标准</w:t>
                      </w:r>
                    </w:p>
                  </w:txbxContent>
                </v:textbox>
                <w10:anchorlock/>
              </v:shape>
            </w:pict>
          </mc:Fallback>
        </mc:AlternateContent>
      </w:r>
      <w:r>
        <w:rPr>
          <w:color w:val="000000"/>
        </w:rPr>
        <mc:AlternateContent>
          <mc:Choice Requires="wps">
            <w:drawing>
              <wp:anchor distT="0" distB="0" distL="114300" distR="114300" simplePos="0" relativeHeight="251660288" behindDoc="0" locked="1" layoutInCell="1" allowOverlap="1">
                <wp:simplePos x="0" y="0"/>
                <wp:positionH relativeFrom="margin">
                  <wp:posOffset>-365760</wp:posOffset>
                </wp:positionH>
                <wp:positionV relativeFrom="margin">
                  <wp:posOffset>0</wp:posOffset>
                </wp:positionV>
                <wp:extent cx="2540000" cy="73152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540000" cy="731520"/>
                        </a:xfrm>
                        <a:prstGeom prst="rect">
                          <a:avLst/>
                        </a:prstGeom>
                        <a:solidFill>
                          <a:srgbClr val="FFFFFF"/>
                        </a:solidFill>
                        <a:ln>
                          <a:noFill/>
                        </a:ln>
                        <a:effectLst/>
                      </wps:spPr>
                      <wps:txbx>
                        <w:txbxContent>
                          <w:p w14:paraId="4E25DEE0">
                            <w:pPr>
                              <w:spacing w:line="240" w:lineRule="auto"/>
                              <w:textAlignment w:val="center"/>
                              <w:rPr>
                                <w:rFonts w:ascii="Arial" w:hAnsi="Arial" w:eastAsia="黑体" w:cs="Arial"/>
                                <w:bCs/>
                                <w:szCs w:val="22"/>
                              </w:rPr>
                            </w:pPr>
                            <w:r>
                              <w:rPr>
                                <w:rFonts w:ascii="Times New Roman" w:eastAsia="黑体"/>
                                <w:bCs/>
                                <w:szCs w:val="22"/>
                              </w:rPr>
                              <w:t>ICS</w:t>
                            </w:r>
                            <w:r>
                              <w:rPr>
                                <w:rFonts w:hint="eastAsia" w:ascii="黑体" w:eastAsia="黑体"/>
                                <w:bCs/>
                                <w:szCs w:val="22"/>
                              </w:rPr>
                              <w:t xml:space="preserve"> </w:t>
                            </w:r>
                            <w:r>
                              <w:rPr>
                                <w:rFonts w:ascii="Arial" w:hAnsi="Arial" w:eastAsia="黑体" w:cs="Arial"/>
                                <w:bCs/>
                                <w:szCs w:val="22"/>
                              </w:rPr>
                              <w:t>93.100</w:t>
                            </w:r>
                          </w:p>
                          <w:p w14:paraId="1DE40E5F">
                            <w:pPr>
                              <w:spacing w:line="240" w:lineRule="auto"/>
                              <w:textAlignment w:val="center"/>
                              <w:rPr>
                                <w:rFonts w:ascii="Arial" w:hAnsi="Arial" w:eastAsia="黑体" w:cs="Arial"/>
                                <w:bCs/>
                                <w:szCs w:val="22"/>
                              </w:rPr>
                            </w:pPr>
                            <w:r>
                              <w:rPr>
                                <w:rFonts w:hint="eastAsia" w:ascii="Times New Roman" w:eastAsia="黑体"/>
                                <w:bCs/>
                                <w:szCs w:val="22"/>
                              </w:rPr>
                              <w:t>CCS</w:t>
                            </w:r>
                            <w:r>
                              <w:rPr>
                                <w:rFonts w:ascii="Times New Roman" w:eastAsia="黑体"/>
                                <w:bCs/>
                                <w:szCs w:val="22"/>
                              </w:rPr>
                              <w:t xml:space="preserve"> </w:t>
                            </w:r>
                            <w:r>
                              <w:rPr>
                                <w:rFonts w:hint="eastAsia" w:ascii="Times New Roman" w:eastAsia="黑体"/>
                                <w:bCs/>
                                <w:szCs w:val="22"/>
                              </w:rPr>
                              <w:t>P</w:t>
                            </w:r>
                            <w:r>
                              <w:rPr>
                                <w:rFonts w:hint="eastAsia" w:ascii="黑体" w:eastAsia="黑体"/>
                                <w:bCs/>
                                <w:szCs w:val="22"/>
                              </w:rPr>
                              <w:t xml:space="preserve"> </w:t>
                            </w:r>
                            <w:r>
                              <w:rPr>
                                <w:rFonts w:ascii="黑体" w:eastAsia="黑体"/>
                                <w:bCs/>
                                <w:szCs w:val="22"/>
                              </w:rPr>
                              <w:t>55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8.8pt;margin-top:0pt;height:57.6pt;width:200pt;mso-position-horizontal-relative:margin;mso-position-vertical-relative:margin;z-index:251660288;mso-width-relative:page;mso-height-relative:page;" fillcolor="#FFFFFF" filled="t" stroked="f" coordsize="21600,21600" o:gfxdata="UEsDBAoAAAAAAIdO4kAAAAAAAAAAAAAAAAAEAAAAZHJzL1BLAwQUAAAACACHTuJA7O0/CNcAAAAI&#10;AQAADwAAAGRycy9kb3ducmV2LnhtbE2PwU7DMBBE70j8g7VIXFDrJLQBhTiVaOEGh5aqZzdekoh4&#10;HdlO0/49y4keV/M0+6ZcnW0vTuhD50hBOk9AINXOdNQo2H+9z55BhKjJ6N4RKrhggFV1e1PqwriJ&#10;tnjaxUZwCYVCK2hjHAopQ92i1WHuBiTOvp23OvLpG2m8nrjc9jJLklxa3RF/aPWA6xbrn91oFeQb&#10;P05bWj9s9m8f+nNossPr5aDU/V2avICIeI7/MPzpszpU7HR0I5kgegWz5VPOqAJexPHjIluAODKX&#10;LjOQVSmvB1S/UEsDBBQAAAAIAIdO4kAH2zSZJAIAADwEAAAOAAAAZHJzL2Uyb0RvYy54bWytU82O&#10;0zAQviPxDpbvNG1hAUVNV0urIqTlR1p4AMdxEovEY8Zuk/IA8AacuHDnufocjO22VMtlD+QQje2Z&#10;z/N983lxPfYd2yl0GkzBZ5MpZ8pIqLRpCv7p4+bJS86cF6YSHRhV8L1y/Hr5+NFisLmaQwtdpZAR&#10;iHH5YAveem/zLHOyVb1wE7DK0GEN2AtPS2yyCsVA6H2XzafT59kAWFkEqZyj3XU65EdEfAgg1LWW&#10;ag1y2yvjEyqqTnii5FptHV/GbutaSf++rp3yrCs4MfXxT5dQXIZ/tlyIvEFhWy2PLYiHtHCPUy+0&#10;oUvPUGvhBdui/geq1xLBQe0nEvosEYmKEIvZ9J42d62wKnIhqZ09i+7+H6x8t/uATFfkBM6M6Gng&#10;hx/fDz9/H359Y7Mgz2BdTll3lvL8+ArGkBqoOnsL8rNjBlatMI26QYShVaKi9mJldlGacFwAKYe3&#10;UNE9YushAo019gGQ1GCETqPZn0ejRs8kbc6vnk3p40zS2Yuns6t5nF0m8lO1RedfK+hZCAqONPqI&#10;Lna3zhMPSj2lxO6h09VGd11cYFOuOmQ7QTbZxC9QpxJ3mdaZkGwglKXjtKOi0Y7XBNKBZ2Lsx3I8&#10;ilhCtSf6CMmE9AQpaAG/cjaQAQvuvmwFKs66N4YkDG49BXgKylMgjKTSgnvOUrjyydVbi7ppCTkN&#10;ycANyVzrqEBoLXVB3MKCTBVZHh9AcO3lOmb9ffT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zt&#10;PwjXAAAACAEAAA8AAAAAAAAAAQAgAAAAIgAAAGRycy9kb3ducmV2LnhtbFBLAQIUABQAAAAIAIdO&#10;4kAH2zSZJAIAADwEAAAOAAAAAAAAAAEAIAAAACYBAABkcnMvZTJvRG9jLnhtbFBLBQYAAAAABgAG&#10;AFkBAAC8BQAAAAA=&#10;">
                <v:fill on="t" focussize="0,0"/>
                <v:stroke on="f"/>
                <v:imagedata o:title=""/>
                <o:lock v:ext="edit" aspectratio="f"/>
                <v:textbox inset="0mm,0mm,0mm,0mm">
                  <w:txbxContent>
                    <w:p w14:paraId="4E25DEE0">
                      <w:pPr>
                        <w:spacing w:line="240" w:lineRule="auto"/>
                        <w:textAlignment w:val="center"/>
                        <w:rPr>
                          <w:rFonts w:ascii="Arial" w:hAnsi="Arial" w:eastAsia="黑体" w:cs="Arial"/>
                          <w:bCs/>
                          <w:szCs w:val="22"/>
                        </w:rPr>
                      </w:pPr>
                      <w:r>
                        <w:rPr>
                          <w:rFonts w:ascii="Times New Roman" w:eastAsia="黑体"/>
                          <w:bCs/>
                          <w:szCs w:val="22"/>
                        </w:rPr>
                        <w:t>ICS</w:t>
                      </w:r>
                      <w:r>
                        <w:rPr>
                          <w:rFonts w:hint="eastAsia" w:ascii="黑体" w:eastAsia="黑体"/>
                          <w:bCs/>
                          <w:szCs w:val="22"/>
                        </w:rPr>
                        <w:t xml:space="preserve"> </w:t>
                      </w:r>
                      <w:r>
                        <w:rPr>
                          <w:rFonts w:ascii="Arial" w:hAnsi="Arial" w:eastAsia="黑体" w:cs="Arial"/>
                          <w:bCs/>
                          <w:szCs w:val="22"/>
                        </w:rPr>
                        <w:t>93.100</w:t>
                      </w:r>
                    </w:p>
                    <w:p w14:paraId="1DE40E5F">
                      <w:pPr>
                        <w:spacing w:line="240" w:lineRule="auto"/>
                        <w:textAlignment w:val="center"/>
                        <w:rPr>
                          <w:rFonts w:ascii="Arial" w:hAnsi="Arial" w:eastAsia="黑体" w:cs="Arial"/>
                          <w:bCs/>
                          <w:szCs w:val="22"/>
                        </w:rPr>
                      </w:pPr>
                      <w:r>
                        <w:rPr>
                          <w:rFonts w:hint="eastAsia" w:ascii="Times New Roman" w:eastAsia="黑体"/>
                          <w:bCs/>
                          <w:szCs w:val="22"/>
                        </w:rPr>
                        <w:t>CCS</w:t>
                      </w:r>
                      <w:r>
                        <w:rPr>
                          <w:rFonts w:ascii="Times New Roman" w:eastAsia="黑体"/>
                          <w:bCs/>
                          <w:szCs w:val="22"/>
                        </w:rPr>
                        <w:t xml:space="preserve"> </w:t>
                      </w:r>
                      <w:r>
                        <w:rPr>
                          <w:rFonts w:hint="eastAsia" w:ascii="Times New Roman" w:eastAsia="黑体"/>
                          <w:bCs/>
                          <w:szCs w:val="22"/>
                        </w:rPr>
                        <w:t>P</w:t>
                      </w:r>
                      <w:r>
                        <w:rPr>
                          <w:rFonts w:hint="eastAsia" w:ascii="黑体" w:eastAsia="黑体"/>
                          <w:bCs/>
                          <w:szCs w:val="22"/>
                        </w:rPr>
                        <w:t xml:space="preserve"> </w:t>
                      </w:r>
                      <w:r>
                        <w:rPr>
                          <w:rFonts w:ascii="黑体" w:eastAsia="黑体"/>
                          <w:bCs/>
                          <w:szCs w:val="22"/>
                        </w:rPr>
                        <w:t>55</w:t>
                      </w:r>
                    </w:p>
                  </w:txbxContent>
                </v:textbox>
                <w10:anchorlock/>
              </v:shape>
            </w:pict>
          </mc:Fallback>
        </mc:AlternateContent>
      </w:r>
    </w:p>
    <w:bookmarkEnd w:id="0"/>
    <w:p w14:paraId="610DDC93">
      <w:pPr>
        <w:pStyle w:val="36"/>
        <w:spacing w:before="0" w:after="0"/>
        <w:outlineLvl w:val="9"/>
        <w:rPr>
          <w:rFonts w:ascii="Times New Roman"/>
          <w:color w:val="000000"/>
        </w:rPr>
      </w:pPr>
      <w:bookmarkStart w:id="1" w:name="_Toc394824082"/>
      <w:bookmarkStart w:id="2" w:name="_Toc29752634"/>
      <w:bookmarkStart w:id="3" w:name="_Toc369263850"/>
      <w:bookmarkStart w:id="4" w:name="_Toc29147000"/>
      <w:bookmarkStart w:id="5" w:name="_Toc5938"/>
      <w:bookmarkStart w:id="6" w:name="_Toc60953021"/>
      <w:bookmarkStart w:id="7" w:name="_Toc30515059"/>
      <w:bookmarkStart w:id="8" w:name="_Toc60952932"/>
      <w:bookmarkStart w:id="9" w:name="_Toc15835375"/>
      <w:bookmarkStart w:id="10" w:name="_Toc369263814"/>
      <w:bookmarkStart w:id="11" w:name="_Toc12091581"/>
      <w:bookmarkStart w:id="12" w:name="_Toc91726594"/>
      <w:bookmarkStart w:id="13" w:name="_Toc376427461"/>
      <w:r>
        <w:rPr>
          <w:rFonts w:ascii="Times New Roman"/>
          <w:color w:val="000000"/>
        </w:rPr>
        <w:t>目  次</w:t>
      </w:r>
      <w:bookmarkEnd w:id="1"/>
      <w:bookmarkEnd w:id="2"/>
      <w:bookmarkEnd w:id="3"/>
      <w:bookmarkEnd w:id="4"/>
      <w:bookmarkEnd w:id="5"/>
      <w:bookmarkEnd w:id="6"/>
      <w:bookmarkEnd w:id="7"/>
      <w:bookmarkEnd w:id="8"/>
      <w:bookmarkEnd w:id="9"/>
      <w:bookmarkEnd w:id="10"/>
      <w:bookmarkEnd w:id="11"/>
      <w:bookmarkEnd w:id="12"/>
      <w:bookmarkEnd w:id="13"/>
    </w:p>
    <w:p w14:paraId="6BD3E5D1">
      <w:pPr>
        <w:pStyle w:val="13"/>
        <w:rPr>
          <w:rFonts w:ascii="Times New Roman" w:hAnsi="Times New Roman"/>
          <w:szCs w:val="22"/>
          <w14:ligatures w14:val="standardContextual"/>
        </w:rPr>
      </w:pPr>
      <w:r>
        <w:rPr>
          <w:rFonts w:ascii="Times New Roman" w:hAnsi="Times New Roman"/>
          <w:color w:val="000000"/>
          <w:szCs w:val="21"/>
        </w:rPr>
        <w:fldChar w:fldCharType="begin"/>
      </w:r>
      <w:r>
        <w:rPr>
          <w:rFonts w:ascii="Times New Roman" w:hAnsi="Times New Roman"/>
          <w:color w:val="000000"/>
          <w:szCs w:val="21"/>
        </w:rPr>
        <w:instrText xml:space="preserve"> TOC \o "1-3" \h \z \u </w:instrText>
      </w:r>
      <w:r>
        <w:rPr>
          <w:rFonts w:ascii="Times New Roman" w:hAnsi="Times New Roman"/>
          <w:color w:val="000000"/>
          <w:szCs w:val="21"/>
        </w:rPr>
        <w:fldChar w:fldCharType="separate"/>
      </w:r>
      <w:r>
        <w:fldChar w:fldCharType="begin"/>
      </w:r>
      <w:r>
        <w:instrText xml:space="preserve"> HYPERLINK \l "_Toc172290852" </w:instrText>
      </w:r>
      <w:r>
        <w:fldChar w:fldCharType="separate"/>
      </w:r>
      <w:r>
        <w:rPr>
          <w:rStyle w:val="21"/>
          <w:rFonts w:hint="eastAsia" w:ascii="Times New Roman" w:hAnsi="Times New Roman"/>
        </w:rPr>
        <w:t>前</w:t>
      </w:r>
      <w:r>
        <w:rPr>
          <w:rStyle w:val="21"/>
          <w:rFonts w:ascii="Times New Roman" w:hAnsi="Times New Roman"/>
        </w:rPr>
        <w:t xml:space="preserve">  </w:t>
      </w:r>
      <w:r>
        <w:rPr>
          <w:rStyle w:val="21"/>
          <w:rFonts w:hint="eastAsia" w:ascii="Times New Roman" w:hAnsi="Times New Roman"/>
        </w:rPr>
        <w:t>言</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_Toc172290852 \h </w:instrText>
      </w:r>
      <w:r>
        <w:rPr>
          <w:rFonts w:hint="eastAsia" w:ascii="Times New Roman" w:hAnsi="Times New Roman"/>
        </w:rPr>
        <w:fldChar w:fldCharType="separate"/>
      </w:r>
      <w:r>
        <w:rPr>
          <w:rFonts w:ascii="Times New Roman" w:hAnsi="Times New Roman"/>
        </w:rPr>
        <w:t>I</w:t>
      </w:r>
      <w:r>
        <w:rPr>
          <w:rFonts w:hint="eastAsia" w:ascii="Times New Roman" w:hAnsi="Times New Roman"/>
        </w:rPr>
        <w:fldChar w:fldCharType="end"/>
      </w:r>
      <w:r>
        <w:rPr>
          <w:rFonts w:hint="eastAsia" w:ascii="Times New Roman" w:hAnsi="Times New Roman"/>
        </w:rPr>
        <w:fldChar w:fldCharType="end"/>
      </w:r>
    </w:p>
    <w:p w14:paraId="3B246AC7">
      <w:pPr>
        <w:pStyle w:val="13"/>
        <w:rPr>
          <w:rFonts w:ascii="Times New Roman" w:hAnsi="Times New Roman"/>
          <w:szCs w:val="22"/>
          <w14:ligatures w14:val="standardContextual"/>
        </w:rPr>
      </w:pPr>
      <w:r>
        <w:fldChar w:fldCharType="begin"/>
      </w:r>
      <w:r>
        <w:instrText xml:space="preserve"> HYPERLINK \l "_Toc172290854" </w:instrText>
      </w:r>
      <w:r>
        <w:fldChar w:fldCharType="separate"/>
      </w:r>
      <w:r>
        <w:rPr>
          <w:rStyle w:val="21"/>
          <w:rFonts w:hint="eastAsia" w:ascii="Times New Roman" w:hAnsi="Times New Roman"/>
          <w:spacing w:val="4"/>
        </w:rPr>
        <w:t>1 范围</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_Toc172290854 \h </w:instrText>
      </w:r>
      <w:r>
        <w:rPr>
          <w:rFonts w:hint="eastAsia" w:ascii="Times New Roman" w:hAnsi="Times New Roman"/>
        </w:rPr>
        <w:fldChar w:fldCharType="separate"/>
      </w:r>
      <w:r>
        <w:rPr>
          <w:rFonts w:ascii="Times New Roman" w:hAnsi="Times New Roman"/>
        </w:rPr>
        <w:t>1</w:t>
      </w:r>
      <w:r>
        <w:rPr>
          <w:rFonts w:hint="eastAsia" w:ascii="Times New Roman" w:hAnsi="Times New Roman"/>
        </w:rPr>
        <w:fldChar w:fldCharType="end"/>
      </w:r>
      <w:r>
        <w:rPr>
          <w:rFonts w:hint="eastAsia" w:ascii="Times New Roman" w:hAnsi="Times New Roman"/>
        </w:rPr>
        <w:fldChar w:fldCharType="end"/>
      </w:r>
    </w:p>
    <w:p w14:paraId="7F2124D6">
      <w:pPr>
        <w:pStyle w:val="13"/>
        <w:rPr>
          <w:rFonts w:ascii="Times New Roman" w:hAnsi="Times New Roman"/>
          <w:szCs w:val="22"/>
          <w14:ligatures w14:val="standardContextual"/>
        </w:rPr>
      </w:pPr>
      <w:r>
        <w:fldChar w:fldCharType="begin"/>
      </w:r>
      <w:r>
        <w:instrText xml:space="preserve"> HYPERLINK \l "_Toc172290855" </w:instrText>
      </w:r>
      <w:r>
        <w:fldChar w:fldCharType="separate"/>
      </w:r>
      <w:r>
        <w:rPr>
          <w:rStyle w:val="21"/>
          <w:rFonts w:hint="eastAsia" w:ascii="Times New Roman" w:hAnsi="Times New Roman"/>
          <w:spacing w:val="4"/>
        </w:rPr>
        <w:t>2 规范性引用文件</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_Toc172290855 \h </w:instrText>
      </w:r>
      <w:r>
        <w:rPr>
          <w:rFonts w:hint="eastAsia" w:ascii="Times New Roman" w:hAnsi="Times New Roman"/>
        </w:rPr>
        <w:fldChar w:fldCharType="separate"/>
      </w:r>
      <w:r>
        <w:rPr>
          <w:rFonts w:ascii="Times New Roman" w:hAnsi="Times New Roman"/>
        </w:rPr>
        <w:t>1</w:t>
      </w:r>
      <w:r>
        <w:rPr>
          <w:rFonts w:hint="eastAsia" w:ascii="Times New Roman" w:hAnsi="Times New Roman"/>
        </w:rPr>
        <w:fldChar w:fldCharType="end"/>
      </w:r>
      <w:r>
        <w:rPr>
          <w:rFonts w:hint="eastAsia" w:ascii="Times New Roman" w:hAnsi="Times New Roman"/>
        </w:rPr>
        <w:fldChar w:fldCharType="end"/>
      </w:r>
    </w:p>
    <w:p w14:paraId="358F3010">
      <w:pPr>
        <w:pStyle w:val="13"/>
        <w:rPr>
          <w:rFonts w:ascii="Times New Roman" w:hAnsi="Times New Roman"/>
          <w:szCs w:val="22"/>
          <w14:ligatures w14:val="standardContextual"/>
        </w:rPr>
      </w:pPr>
      <w:r>
        <w:fldChar w:fldCharType="begin"/>
      </w:r>
      <w:r>
        <w:instrText xml:space="preserve"> HYPERLINK \l "_Toc172290856" </w:instrText>
      </w:r>
      <w:r>
        <w:fldChar w:fldCharType="separate"/>
      </w:r>
      <w:r>
        <w:rPr>
          <w:rStyle w:val="21"/>
          <w:rFonts w:hint="eastAsia" w:ascii="Times New Roman" w:hAnsi="Times New Roman"/>
          <w:spacing w:val="4"/>
        </w:rPr>
        <w:t>3 术语和定义</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_Toc172290856 \h </w:instrText>
      </w:r>
      <w:r>
        <w:rPr>
          <w:rFonts w:hint="eastAsia" w:ascii="Times New Roman" w:hAnsi="Times New Roman"/>
        </w:rPr>
        <w:fldChar w:fldCharType="separate"/>
      </w:r>
      <w:r>
        <w:rPr>
          <w:rFonts w:ascii="Times New Roman" w:hAnsi="Times New Roman"/>
        </w:rPr>
        <w:t>1</w:t>
      </w:r>
      <w:r>
        <w:rPr>
          <w:rFonts w:hint="eastAsia" w:ascii="Times New Roman" w:hAnsi="Times New Roman"/>
        </w:rPr>
        <w:fldChar w:fldCharType="end"/>
      </w:r>
      <w:r>
        <w:rPr>
          <w:rFonts w:hint="eastAsia" w:ascii="Times New Roman" w:hAnsi="Times New Roman"/>
        </w:rPr>
        <w:fldChar w:fldCharType="end"/>
      </w:r>
    </w:p>
    <w:p w14:paraId="51339547">
      <w:pPr>
        <w:pStyle w:val="13"/>
        <w:rPr>
          <w:rFonts w:ascii="Times New Roman" w:hAnsi="Times New Roman"/>
          <w:szCs w:val="22"/>
          <w14:ligatures w14:val="standardContextual"/>
        </w:rPr>
      </w:pPr>
      <w:r>
        <w:fldChar w:fldCharType="begin"/>
      </w:r>
      <w:r>
        <w:instrText xml:space="preserve"> HYPERLINK \l "_Toc172290857" </w:instrText>
      </w:r>
      <w:r>
        <w:fldChar w:fldCharType="separate"/>
      </w:r>
      <w:r>
        <w:rPr>
          <w:rStyle w:val="21"/>
          <w:rFonts w:hint="eastAsia" w:ascii="Times New Roman" w:hAnsi="Times New Roman"/>
          <w:spacing w:val="4"/>
        </w:rPr>
        <w:t>4 总体要求</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_Toc172290857 \h </w:instrText>
      </w:r>
      <w:r>
        <w:rPr>
          <w:rFonts w:hint="eastAsia" w:ascii="Times New Roman" w:hAnsi="Times New Roman"/>
        </w:rPr>
        <w:fldChar w:fldCharType="separate"/>
      </w:r>
      <w:r>
        <w:rPr>
          <w:rFonts w:ascii="Times New Roman" w:hAnsi="Times New Roman"/>
        </w:rPr>
        <w:t>2</w:t>
      </w:r>
      <w:r>
        <w:rPr>
          <w:rFonts w:hint="eastAsia" w:ascii="Times New Roman" w:hAnsi="Times New Roman"/>
        </w:rPr>
        <w:fldChar w:fldCharType="end"/>
      </w:r>
      <w:r>
        <w:rPr>
          <w:rFonts w:hint="eastAsia" w:ascii="Times New Roman" w:hAnsi="Times New Roman"/>
        </w:rPr>
        <w:fldChar w:fldCharType="end"/>
      </w:r>
    </w:p>
    <w:p w14:paraId="42F298DD">
      <w:pPr>
        <w:pStyle w:val="13"/>
        <w:rPr>
          <w:rFonts w:ascii="Times New Roman" w:hAnsi="Times New Roman"/>
          <w:szCs w:val="22"/>
          <w14:ligatures w14:val="standardContextual"/>
        </w:rPr>
      </w:pPr>
      <w:r>
        <w:fldChar w:fldCharType="begin"/>
      </w:r>
      <w:r>
        <w:instrText xml:space="preserve"> HYPERLINK \l "_Toc172290858" </w:instrText>
      </w:r>
      <w:r>
        <w:fldChar w:fldCharType="separate"/>
      </w:r>
      <w:r>
        <w:rPr>
          <w:rStyle w:val="21"/>
          <w:rFonts w:hint="eastAsia" w:ascii="Times New Roman" w:hAnsi="Times New Roman"/>
          <w:spacing w:val="4"/>
        </w:rPr>
        <w:t>5 基本资料</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_Toc172290858 \h </w:instrText>
      </w:r>
      <w:r>
        <w:rPr>
          <w:rFonts w:hint="eastAsia" w:ascii="Times New Roman" w:hAnsi="Times New Roman"/>
        </w:rPr>
        <w:fldChar w:fldCharType="separate"/>
      </w:r>
      <w:r>
        <w:rPr>
          <w:rFonts w:ascii="Times New Roman" w:hAnsi="Times New Roman"/>
        </w:rPr>
        <w:t>3</w:t>
      </w:r>
      <w:r>
        <w:rPr>
          <w:rFonts w:hint="eastAsia" w:ascii="Times New Roman" w:hAnsi="Times New Roman"/>
        </w:rPr>
        <w:fldChar w:fldCharType="end"/>
      </w:r>
      <w:r>
        <w:rPr>
          <w:rFonts w:hint="eastAsia" w:ascii="Times New Roman" w:hAnsi="Times New Roman"/>
        </w:rPr>
        <w:fldChar w:fldCharType="end"/>
      </w:r>
    </w:p>
    <w:p w14:paraId="6FDF287B">
      <w:pPr>
        <w:pStyle w:val="13"/>
        <w:rPr>
          <w:rFonts w:ascii="Times New Roman" w:hAnsi="Times New Roman"/>
          <w:szCs w:val="22"/>
          <w14:ligatures w14:val="standardContextual"/>
        </w:rPr>
      </w:pPr>
      <w:r>
        <w:fldChar w:fldCharType="begin"/>
      </w:r>
      <w:r>
        <w:instrText xml:space="preserve"> HYPERLINK \l "_Toc172290859" </w:instrText>
      </w:r>
      <w:r>
        <w:fldChar w:fldCharType="separate"/>
      </w:r>
      <w:r>
        <w:rPr>
          <w:rStyle w:val="21"/>
          <w:rFonts w:hint="eastAsia" w:ascii="Times New Roman" w:hAnsi="Times New Roman"/>
          <w:spacing w:val="4"/>
        </w:rPr>
        <w:t>6 警戒水位核定</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_Toc172290859 \h </w:instrText>
      </w:r>
      <w:r>
        <w:rPr>
          <w:rFonts w:hint="eastAsia" w:ascii="Times New Roman" w:hAnsi="Times New Roman"/>
        </w:rPr>
        <w:fldChar w:fldCharType="separate"/>
      </w:r>
      <w:r>
        <w:rPr>
          <w:rFonts w:ascii="Times New Roman" w:hAnsi="Times New Roman"/>
        </w:rPr>
        <w:t>3</w:t>
      </w:r>
      <w:r>
        <w:rPr>
          <w:rFonts w:hint="eastAsia" w:ascii="Times New Roman" w:hAnsi="Times New Roman"/>
        </w:rPr>
        <w:fldChar w:fldCharType="end"/>
      </w:r>
      <w:r>
        <w:rPr>
          <w:rFonts w:hint="eastAsia" w:ascii="Times New Roman" w:hAnsi="Times New Roman"/>
        </w:rPr>
        <w:fldChar w:fldCharType="end"/>
      </w:r>
    </w:p>
    <w:p w14:paraId="5F20DA7D">
      <w:pPr>
        <w:pStyle w:val="13"/>
        <w:rPr>
          <w:rFonts w:ascii="Times New Roman" w:hAnsi="Times New Roman"/>
          <w:szCs w:val="22"/>
          <w14:ligatures w14:val="standardContextual"/>
        </w:rPr>
      </w:pPr>
      <w:r>
        <w:fldChar w:fldCharType="begin"/>
      </w:r>
      <w:r>
        <w:instrText xml:space="preserve"> HYPERLINK \l "_Toc172290860" </w:instrText>
      </w:r>
      <w:r>
        <w:fldChar w:fldCharType="separate"/>
      </w:r>
      <w:r>
        <w:rPr>
          <w:rStyle w:val="21"/>
          <w:rFonts w:hint="eastAsia" w:ascii="Times New Roman" w:hAnsi="Times New Roman"/>
          <w:spacing w:val="4"/>
        </w:rPr>
        <w:t>7 保证水位核定</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_Toc172290860 \h </w:instrText>
      </w:r>
      <w:r>
        <w:rPr>
          <w:rFonts w:hint="eastAsia" w:ascii="Times New Roman" w:hAnsi="Times New Roman"/>
        </w:rPr>
        <w:fldChar w:fldCharType="separate"/>
      </w:r>
      <w:r>
        <w:rPr>
          <w:rFonts w:ascii="Times New Roman" w:hAnsi="Times New Roman"/>
        </w:rPr>
        <w:t>4</w:t>
      </w:r>
      <w:r>
        <w:rPr>
          <w:rFonts w:hint="eastAsia" w:ascii="Times New Roman" w:hAnsi="Times New Roman"/>
        </w:rPr>
        <w:fldChar w:fldCharType="end"/>
      </w:r>
      <w:r>
        <w:rPr>
          <w:rFonts w:hint="eastAsia" w:ascii="Times New Roman" w:hAnsi="Times New Roman"/>
        </w:rPr>
        <w:fldChar w:fldCharType="end"/>
      </w:r>
    </w:p>
    <w:p w14:paraId="0A6AC528">
      <w:pPr>
        <w:pStyle w:val="13"/>
        <w:rPr>
          <w:rFonts w:ascii="Times New Roman" w:hAnsi="Times New Roman"/>
          <w:szCs w:val="22"/>
          <w14:ligatures w14:val="standardContextual"/>
        </w:rPr>
      </w:pPr>
      <w:r>
        <w:fldChar w:fldCharType="begin"/>
      </w:r>
      <w:r>
        <w:instrText xml:space="preserve"> HYPERLINK \l "_Toc172290861" </w:instrText>
      </w:r>
      <w:r>
        <w:fldChar w:fldCharType="separate"/>
      </w:r>
      <w:r>
        <w:rPr>
          <w:rStyle w:val="21"/>
          <w:rFonts w:hint="eastAsia" w:ascii="Times New Roman" w:hAnsi="Times New Roman"/>
          <w:spacing w:val="4"/>
        </w:rPr>
        <w:t>8 旱限（警）水位核定</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_Toc172290861 \h </w:instrText>
      </w:r>
      <w:r>
        <w:rPr>
          <w:rFonts w:hint="eastAsia" w:ascii="Times New Roman" w:hAnsi="Times New Roman"/>
        </w:rPr>
        <w:fldChar w:fldCharType="separate"/>
      </w:r>
      <w:r>
        <w:rPr>
          <w:rFonts w:ascii="Times New Roman" w:hAnsi="Times New Roman"/>
        </w:rPr>
        <w:t>5</w:t>
      </w:r>
      <w:r>
        <w:rPr>
          <w:rFonts w:hint="eastAsia" w:ascii="Times New Roman" w:hAnsi="Times New Roman"/>
        </w:rPr>
        <w:fldChar w:fldCharType="end"/>
      </w:r>
      <w:r>
        <w:rPr>
          <w:rFonts w:hint="eastAsia" w:ascii="Times New Roman" w:hAnsi="Times New Roman"/>
        </w:rPr>
        <w:fldChar w:fldCharType="end"/>
      </w:r>
    </w:p>
    <w:p w14:paraId="3D1A378B">
      <w:pPr>
        <w:pStyle w:val="13"/>
        <w:rPr>
          <w:rFonts w:ascii="Times New Roman" w:hAnsi="Times New Roman"/>
          <w:szCs w:val="22"/>
          <w14:ligatures w14:val="standardContextual"/>
        </w:rPr>
      </w:pPr>
      <w:r>
        <w:fldChar w:fldCharType="begin"/>
      </w:r>
      <w:r>
        <w:instrText xml:space="preserve"> HYPERLINK \l "_Toc172290862" </w:instrText>
      </w:r>
      <w:r>
        <w:fldChar w:fldCharType="separate"/>
      </w:r>
      <w:r>
        <w:rPr>
          <w:rStyle w:val="21"/>
          <w:rFonts w:hint="eastAsia" w:ascii="Times New Roman" w:hAnsi="Times New Roman"/>
          <w:spacing w:val="4"/>
        </w:rPr>
        <w:t>附录A</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_Toc172290862 \h </w:instrText>
      </w:r>
      <w:r>
        <w:rPr>
          <w:rFonts w:hint="eastAsia" w:ascii="Times New Roman" w:hAnsi="Times New Roman"/>
        </w:rPr>
        <w:fldChar w:fldCharType="separate"/>
      </w:r>
      <w:r>
        <w:rPr>
          <w:rFonts w:ascii="Times New Roman" w:hAnsi="Times New Roman"/>
        </w:rPr>
        <w:t>6</w:t>
      </w:r>
      <w:r>
        <w:rPr>
          <w:rFonts w:hint="eastAsia" w:ascii="Times New Roman" w:hAnsi="Times New Roman"/>
        </w:rPr>
        <w:fldChar w:fldCharType="end"/>
      </w:r>
      <w:r>
        <w:rPr>
          <w:rFonts w:hint="eastAsia" w:ascii="Times New Roman" w:hAnsi="Times New Roman"/>
        </w:rPr>
        <w:fldChar w:fldCharType="end"/>
      </w:r>
    </w:p>
    <w:p w14:paraId="31D1A930">
      <w:pPr>
        <w:pStyle w:val="13"/>
        <w:rPr>
          <w:rFonts w:ascii="Times New Roman" w:hAnsi="Times New Roman"/>
          <w:szCs w:val="22"/>
          <w14:ligatures w14:val="standardContextual"/>
        </w:rPr>
      </w:pPr>
      <w:r>
        <w:fldChar w:fldCharType="begin"/>
      </w:r>
      <w:r>
        <w:instrText xml:space="preserve"> HYPERLINK \l "_Toc172290863" </w:instrText>
      </w:r>
      <w:r>
        <w:fldChar w:fldCharType="separate"/>
      </w:r>
      <w:r>
        <w:rPr>
          <w:rStyle w:val="21"/>
          <w:rFonts w:hint="eastAsia" w:ascii="Times New Roman" w:hAnsi="Times New Roman"/>
          <w:spacing w:val="4"/>
        </w:rPr>
        <w:t>防汛抗旱特征水位核定技术报告提纲示例</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_Toc172290863 \h </w:instrText>
      </w:r>
      <w:r>
        <w:rPr>
          <w:rFonts w:hint="eastAsia" w:ascii="Times New Roman" w:hAnsi="Times New Roman"/>
        </w:rPr>
        <w:fldChar w:fldCharType="separate"/>
      </w:r>
      <w:r>
        <w:rPr>
          <w:rFonts w:ascii="Times New Roman" w:hAnsi="Times New Roman"/>
        </w:rPr>
        <w:t>6</w:t>
      </w:r>
      <w:r>
        <w:rPr>
          <w:rFonts w:hint="eastAsia" w:ascii="Times New Roman" w:hAnsi="Times New Roman"/>
        </w:rPr>
        <w:fldChar w:fldCharType="end"/>
      </w:r>
      <w:r>
        <w:rPr>
          <w:rFonts w:hint="eastAsia" w:ascii="Times New Roman" w:hAnsi="Times New Roman"/>
        </w:rPr>
        <w:fldChar w:fldCharType="end"/>
      </w:r>
    </w:p>
    <w:p w14:paraId="53545A2C">
      <w:pPr>
        <w:pStyle w:val="13"/>
        <w:rPr>
          <w:rFonts w:ascii="Times New Roman" w:hAnsi="Times New Roman"/>
          <w:szCs w:val="22"/>
          <w14:ligatures w14:val="standardContextual"/>
        </w:rPr>
      </w:pPr>
      <w:r>
        <w:fldChar w:fldCharType="begin"/>
      </w:r>
      <w:r>
        <w:instrText xml:space="preserve"> HYPERLINK \l "_Toc172290864" </w:instrText>
      </w:r>
      <w:r>
        <w:fldChar w:fldCharType="separate"/>
      </w:r>
      <w:r>
        <w:rPr>
          <w:rStyle w:val="21"/>
          <w:rFonts w:hint="eastAsia" w:ascii="Times New Roman" w:hAnsi="Times New Roman"/>
          <w:spacing w:val="4"/>
        </w:rPr>
        <w:t>参考文献</w:t>
      </w:r>
      <w:r>
        <w:rPr>
          <w:rFonts w:ascii="Times New Roman" w:hAnsi="Times New Roman"/>
        </w:rPr>
        <w:tab/>
      </w:r>
      <w:r>
        <w:rPr>
          <w:rFonts w:hint="eastAsia" w:ascii="Times New Roman" w:hAnsi="Times New Roman"/>
        </w:rPr>
        <w:fldChar w:fldCharType="begin"/>
      </w:r>
      <w:r>
        <w:rPr>
          <w:rFonts w:ascii="Times New Roman" w:hAnsi="Times New Roman"/>
        </w:rPr>
        <w:instrText xml:space="preserve"> PAGEREF _Toc172290864 \h </w:instrText>
      </w:r>
      <w:r>
        <w:rPr>
          <w:rFonts w:hint="eastAsia" w:ascii="Times New Roman" w:hAnsi="Times New Roman"/>
        </w:rPr>
        <w:fldChar w:fldCharType="separate"/>
      </w:r>
      <w:r>
        <w:rPr>
          <w:rFonts w:ascii="Times New Roman" w:hAnsi="Times New Roman"/>
        </w:rPr>
        <w:t>9</w:t>
      </w:r>
      <w:r>
        <w:rPr>
          <w:rFonts w:hint="eastAsia" w:ascii="Times New Roman" w:hAnsi="Times New Roman"/>
        </w:rPr>
        <w:fldChar w:fldCharType="end"/>
      </w:r>
      <w:r>
        <w:rPr>
          <w:rFonts w:hint="eastAsia" w:ascii="Times New Roman" w:hAnsi="Times New Roman"/>
        </w:rPr>
        <w:fldChar w:fldCharType="end"/>
      </w:r>
    </w:p>
    <w:p w14:paraId="3D4B9AFF">
      <w:pPr>
        <w:pStyle w:val="13"/>
        <w:jc w:val="both"/>
        <w:rPr>
          <w:rFonts w:ascii="Times New Roman" w:hAnsi="Times New Roman"/>
          <w:color w:val="000000"/>
        </w:rPr>
      </w:pPr>
      <w:r>
        <w:rPr>
          <w:rFonts w:ascii="Times New Roman" w:hAnsi="Times New Roman"/>
          <w:bCs/>
          <w:color w:val="000000"/>
          <w:szCs w:val="21"/>
          <w:lang w:val="zh-CN"/>
        </w:rPr>
        <w:fldChar w:fldCharType="end"/>
      </w:r>
      <w:bookmarkStart w:id="14" w:name="_Toc8244612"/>
      <w:bookmarkStart w:id="15" w:name="_Toc8244198"/>
    </w:p>
    <w:p w14:paraId="298D4272">
      <w:pPr>
        <w:rPr>
          <w:rFonts w:ascii="Times New Roman" w:hAnsi="Times New Roman"/>
          <w:color w:val="000000"/>
        </w:rPr>
        <w:sectPr>
          <w:footerReference r:id="rId10" w:type="default"/>
          <w:footerReference r:id="rId11" w:type="even"/>
          <w:pgSz w:w="11906" w:h="16838"/>
          <w:pgMar w:top="1440" w:right="1080" w:bottom="1440" w:left="1080" w:header="1417" w:footer="850" w:gutter="0"/>
          <w:pgNumType w:fmt="upperRoman" w:start="1"/>
          <w:cols w:space="720" w:num="1"/>
          <w:docGrid w:type="lines" w:linePitch="312" w:charSpace="0"/>
        </w:sectPr>
      </w:pPr>
    </w:p>
    <w:bookmarkEnd w:id="14"/>
    <w:bookmarkEnd w:id="15"/>
    <w:p w14:paraId="6761DC44">
      <w:pPr>
        <w:pStyle w:val="36"/>
        <w:rPr>
          <w:rFonts w:ascii="Times New Roman"/>
          <w:color w:val="000000"/>
        </w:rPr>
      </w:pPr>
      <w:bookmarkStart w:id="16" w:name="_Toc172290852"/>
      <w:r>
        <w:rPr>
          <w:rFonts w:ascii="Times New Roman"/>
          <w:color w:val="000000"/>
        </w:rPr>
        <w:t>前  言</w:t>
      </w:r>
      <w:bookmarkEnd w:id="16"/>
    </w:p>
    <w:p w14:paraId="304C17A9">
      <w:pPr>
        <w:widowControl/>
        <w:spacing w:line="300" w:lineRule="auto"/>
        <w:ind w:firstLine="432" w:firstLineChars="195"/>
        <w:rPr>
          <w:rFonts w:ascii="Times New Roman" w:hAnsi="Times New Roman"/>
          <w:bCs/>
          <w:color w:val="000000"/>
          <w:spacing w:val="6"/>
          <w:szCs w:val="21"/>
        </w:rPr>
      </w:pPr>
      <w:r>
        <w:rPr>
          <w:rFonts w:ascii="Times New Roman" w:hAnsi="Times New Roman"/>
          <w:bCs/>
          <w:color w:val="000000"/>
          <w:spacing w:val="6"/>
          <w:szCs w:val="21"/>
        </w:rPr>
        <w:t>本文件按GB/T 1.1</w:t>
      </w:r>
      <w:r>
        <w:rPr>
          <w:rFonts w:hint="eastAsia" w:ascii="Times New Roman" w:hAnsi="Times New Roman"/>
          <w:bCs/>
          <w:color w:val="000000"/>
          <w:spacing w:val="6"/>
          <w:szCs w:val="21"/>
        </w:rPr>
        <w:t>—</w:t>
      </w:r>
      <w:r>
        <w:rPr>
          <w:rFonts w:ascii="Times New Roman" w:hAnsi="Times New Roman"/>
          <w:bCs/>
          <w:color w:val="000000"/>
          <w:spacing w:val="6"/>
          <w:szCs w:val="21"/>
        </w:rPr>
        <w:t>2020《标准化工作导则 第1部分：标准化文件的结构和起草规则》的规定起草。</w:t>
      </w:r>
    </w:p>
    <w:p w14:paraId="43525982">
      <w:pPr>
        <w:widowControl/>
        <w:spacing w:line="300" w:lineRule="auto"/>
        <w:ind w:firstLine="432" w:firstLineChars="195"/>
        <w:rPr>
          <w:rFonts w:ascii="Times New Roman" w:hAnsi="Times New Roman"/>
          <w:bCs/>
          <w:color w:val="000000"/>
          <w:spacing w:val="6"/>
          <w:szCs w:val="21"/>
        </w:rPr>
      </w:pPr>
      <w:r>
        <w:rPr>
          <w:rFonts w:hint="eastAsia" w:ascii="Times New Roman" w:hAnsi="Times New Roman"/>
          <w:bCs/>
          <w:color w:val="000000"/>
          <w:spacing w:val="6"/>
          <w:szCs w:val="21"/>
        </w:rPr>
        <w:t>请注意本文件的某些内容可能涉及专利。本文件的发布机构不承担识别专利的责任。</w:t>
      </w:r>
    </w:p>
    <w:p w14:paraId="72348B01">
      <w:pPr>
        <w:widowControl/>
        <w:spacing w:line="300" w:lineRule="auto"/>
        <w:ind w:firstLine="432" w:firstLineChars="195"/>
        <w:rPr>
          <w:rFonts w:ascii="Times New Roman" w:hAnsi="Times New Roman"/>
          <w:bCs/>
          <w:color w:val="000000"/>
          <w:spacing w:val="6"/>
          <w:szCs w:val="21"/>
        </w:rPr>
      </w:pPr>
      <w:r>
        <w:rPr>
          <w:rFonts w:ascii="Times New Roman" w:hAnsi="Times New Roman"/>
          <w:bCs/>
          <w:color w:val="000000"/>
          <w:spacing w:val="6"/>
          <w:szCs w:val="21"/>
        </w:rPr>
        <w:t>本文件由江苏省水利厅提出并归口。</w:t>
      </w:r>
    </w:p>
    <w:p w14:paraId="64C592AF">
      <w:pPr>
        <w:widowControl/>
        <w:spacing w:line="300" w:lineRule="auto"/>
        <w:ind w:firstLine="432" w:firstLineChars="195"/>
        <w:rPr>
          <w:rFonts w:ascii="Times New Roman" w:hAnsi="Times New Roman"/>
          <w:bCs/>
          <w:color w:val="000000"/>
          <w:spacing w:val="6"/>
          <w:szCs w:val="21"/>
        </w:rPr>
      </w:pPr>
      <w:r>
        <w:rPr>
          <w:rFonts w:ascii="Times New Roman" w:hAnsi="Times New Roman"/>
          <w:bCs/>
          <w:color w:val="000000"/>
          <w:spacing w:val="6"/>
          <w:szCs w:val="21"/>
        </w:rPr>
        <w:t>本文件起草单位：江苏省水旱灾害防御调度指挥中心</w:t>
      </w:r>
      <w:r>
        <w:rPr>
          <w:rFonts w:hint="eastAsia" w:ascii="Times New Roman" w:hAnsi="Times New Roman"/>
          <w:bCs/>
          <w:color w:val="000000"/>
          <w:spacing w:val="6"/>
          <w:szCs w:val="21"/>
        </w:rPr>
        <w:t>、江苏省太湖水利规划设计研究院有限公司</w:t>
      </w:r>
      <w:r>
        <w:rPr>
          <w:rFonts w:ascii="Times New Roman" w:hAnsi="Times New Roman"/>
          <w:bCs/>
          <w:color w:val="000000"/>
          <w:spacing w:val="6"/>
          <w:szCs w:val="21"/>
        </w:rPr>
        <w:t>。</w:t>
      </w:r>
    </w:p>
    <w:p w14:paraId="0A991E04">
      <w:pPr>
        <w:widowControl/>
        <w:spacing w:line="300" w:lineRule="auto"/>
        <w:ind w:firstLine="432" w:firstLineChars="195"/>
        <w:rPr>
          <w:rFonts w:ascii="Times New Roman" w:hAnsi="Times New Roman"/>
          <w:bCs/>
          <w:color w:val="000000"/>
          <w:spacing w:val="6"/>
          <w:szCs w:val="21"/>
        </w:rPr>
      </w:pPr>
      <w:r>
        <w:rPr>
          <w:rFonts w:ascii="Times New Roman" w:hAnsi="Times New Roman"/>
          <w:bCs/>
          <w:color w:val="000000"/>
          <w:spacing w:val="6"/>
          <w:szCs w:val="21"/>
        </w:rPr>
        <w:t>本文件主要起草人：</w:t>
      </w:r>
      <w:r>
        <w:rPr>
          <w:rFonts w:hint="eastAsia" w:ascii="Times New Roman" w:hAnsi="Times New Roman"/>
          <w:bCs/>
          <w:color w:val="000000"/>
          <w:spacing w:val="6"/>
          <w:szCs w:val="21"/>
        </w:rPr>
        <w:t>姚俊琪、展永兴、尤迎华、唐仁、朱建英、陶娜麒、吴小靖、汪院生、焦野、周春飞、秦灏、钟栗、王子建、柳子豪、许强、王冬、司英凡、马悦。</w:t>
      </w:r>
    </w:p>
    <w:p w14:paraId="2F213C25">
      <w:pPr>
        <w:widowControl/>
        <w:spacing w:line="300" w:lineRule="auto"/>
        <w:rPr>
          <w:rFonts w:ascii="Times New Roman" w:hAnsi="Times New Roman"/>
          <w:bCs/>
          <w:color w:val="000000"/>
          <w:spacing w:val="6"/>
          <w:szCs w:val="21"/>
        </w:rPr>
      </w:pPr>
    </w:p>
    <w:p w14:paraId="290D363A">
      <w:pPr>
        <w:rPr>
          <w:rFonts w:ascii="Times New Roman" w:hAnsi="Times New Roman"/>
          <w:color w:val="000000"/>
        </w:rPr>
      </w:pPr>
    </w:p>
    <w:p w14:paraId="7AE6204A">
      <w:pPr>
        <w:spacing w:before="312" w:beforeLines="100" w:after="156" w:afterLines="50"/>
        <w:rPr>
          <w:rFonts w:ascii="Times New Roman" w:hAnsi="Times New Roman" w:eastAsia="黑体"/>
          <w:b/>
          <w:color w:val="000000"/>
        </w:rPr>
      </w:pPr>
    </w:p>
    <w:p w14:paraId="508A4CB4">
      <w:pPr>
        <w:pStyle w:val="15"/>
        <w:spacing w:before="156"/>
        <w:rPr>
          <w:color w:val="000000"/>
        </w:rPr>
        <w:sectPr>
          <w:footerReference r:id="rId12" w:type="default"/>
          <w:footerReference r:id="rId13" w:type="even"/>
          <w:pgSz w:w="11906" w:h="16838"/>
          <w:pgMar w:top="1440" w:right="1080" w:bottom="1440" w:left="1080" w:header="1417" w:footer="850" w:gutter="0"/>
          <w:pgNumType w:fmt="upperRoman" w:start="1"/>
          <w:cols w:space="720" w:num="1"/>
          <w:docGrid w:type="lines" w:linePitch="312" w:charSpace="0"/>
        </w:sectPr>
      </w:pPr>
      <w:bookmarkStart w:id="17" w:name="_Toc450210575"/>
      <w:bookmarkStart w:id="18" w:name="_Toc8244199"/>
      <w:bookmarkStart w:id="19" w:name="_Toc16835"/>
      <w:bookmarkStart w:id="20" w:name="_Toc8244613"/>
    </w:p>
    <w:p w14:paraId="49F41F77">
      <w:pPr>
        <w:pStyle w:val="44"/>
        <w:rPr>
          <w:rFonts w:ascii="Times New Roman" w:hAnsi="Times New Roman"/>
          <w:color w:val="000000"/>
        </w:rPr>
      </w:pPr>
      <w:bookmarkStart w:id="21" w:name="_Toc3692"/>
      <w:bookmarkStart w:id="22" w:name="_Toc60953023"/>
      <w:bookmarkStart w:id="23" w:name="_Toc60952934"/>
      <w:bookmarkStart w:id="24" w:name="_Toc172290853"/>
      <w:bookmarkStart w:id="25" w:name="_Toc91726596"/>
      <w:r>
        <w:rPr>
          <w:rFonts w:hint="eastAsia" w:ascii="Times New Roman" w:hAnsi="Times New Roman"/>
          <w:color w:val="000000"/>
        </w:rPr>
        <w:t>防汛抗旱特征水位核定</w:t>
      </w:r>
      <w:bookmarkEnd w:id="21"/>
      <w:bookmarkEnd w:id="22"/>
      <w:bookmarkEnd w:id="23"/>
      <w:r>
        <w:rPr>
          <w:rFonts w:hint="eastAsia" w:ascii="Times New Roman" w:hAnsi="Times New Roman"/>
          <w:color w:val="000000"/>
        </w:rPr>
        <w:t>规程</w:t>
      </w:r>
      <w:bookmarkEnd w:id="24"/>
      <w:bookmarkEnd w:id="25"/>
    </w:p>
    <w:p w14:paraId="3567E8B4">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26" w:name="_Toc172290854"/>
      <w:r>
        <w:rPr>
          <w:rFonts w:ascii="黑体" w:hAnsi="黑体" w:eastAsia="黑体"/>
          <w:b w:val="0"/>
          <w:bCs w:val="0"/>
          <w:color w:val="000000"/>
          <w:spacing w:val="4"/>
          <w:kern w:val="2"/>
          <w:sz w:val="21"/>
          <w:szCs w:val="21"/>
        </w:rPr>
        <w:t xml:space="preserve">1 </w:t>
      </w:r>
      <w:r>
        <w:rPr>
          <w:rFonts w:hint="eastAsia" w:ascii="黑体" w:hAnsi="黑体" w:eastAsia="黑体"/>
          <w:b w:val="0"/>
          <w:bCs w:val="0"/>
          <w:color w:val="000000"/>
          <w:spacing w:val="4"/>
          <w:kern w:val="2"/>
          <w:sz w:val="21"/>
          <w:szCs w:val="21"/>
        </w:rPr>
        <w:t>范围</w:t>
      </w:r>
      <w:bookmarkEnd w:id="17"/>
      <w:bookmarkEnd w:id="18"/>
      <w:bookmarkEnd w:id="19"/>
      <w:bookmarkEnd w:id="20"/>
      <w:bookmarkEnd w:id="26"/>
    </w:p>
    <w:p w14:paraId="6E571E60">
      <w:pPr>
        <w:pStyle w:val="59"/>
        <w:spacing w:line="360" w:lineRule="auto"/>
        <w:ind w:firstLine="420"/>
        <w:rPr>
          <w:rFonts w:ascii="Times New Roman" w:hAnsi="Times New Roman" w:cs="Times New Roman"/>
          <w:color w:val="000000"/>
        </w:rPr>
      </w:pPr>
      <w:r>
        <w:rPr>
          <w:rFonts w:ascii="Times New Roman" w:hAnsi="Times New Roman" w:cs="Times New Roman"/>
          <w:color w:val="000000"/>
        </w:rPr>
        <w:t>本文件规定了</w:t>
      </w:r>
      <w:r>
        <w:rPr>
          <w:rFonts w:hint="eastAsia" w:ascii="Times New Roman" w:hAnsi="Times New Roman" w:cs="Times New Roman"/>
          <w:color w:val="000000"/>
        </w:rPr>
        <w:t>防汛抗旱特征水位核定的原则、程序、方法和技术要求等内容。</w:t>
      </w:r>
    </w:p>
    <w:p w14:paraId="1F3532AD">
      <w:pPr>
        <w:pStyle w:val="59"/>
        <w:spacing w:line="360" w:lineRule="auto"/>
        <w:ind w:firstLine="420"/>
        <w:rPr>
          <w:rFonts w:ascii="Times New Roman" w:hAnsi="Times New Roman" w:cs="Times New Roman"/>
          <w:color w:val="000000"/>
        </w:rPr>
      </w:pPr>
      <w:r>
        <w:rPr>
          <w:rFonts w:ascii="Times New Roman" w:hAnsi="Times New Roman" w:cs="Times New Roman"/>
          <w:color w:val="000000"/>
        </w:rPr>
        <w:t>本文件适用于</w:t>
      </w:r>
      <w:r>
        <w:rPr>
          <w:rFonts w:hint="eastAsia" w:ascii="Times New Roman" w:hAnsi="Times New Roman" w:cs="Times New Roman"/>
          <w:color w:val="000000"/>
        </w:rPr>
        <w:t>江河湖泊防汛抗旱特征水位的核定。</w:t>
      </w:r>
    </w:p>
    <w:p w14:paraId="56E5DC9B">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27" w:name="_Toc172290855"/>
      <w:bookmarkStart w:id="28" w:name="_Toc29762"/>
      <w:bookmarkStart w:id="29" w:name="_Toc450210576"/>
      <w:bookmarkStart w:id="30" w:name="_Toc8244614"/>
      <w:bookmarkStart w:id="31" w:name="_Toc8244200"/>
      <w:r>
        <w:rPr>
          <w:rFonts w:ascii="黑体" w:hAnsi="黑体" w:eastAsia="黑体"/>
          <w:b w:val="0"/>
          <w:bCs w:val="0"/>
          <w:color w:val="000000"/>
          <w:spacing w:val="4"/>
          <w:kern w:val="2"/>
          <w:sz w:val="21"/>
          <w:szCs w:val="21"/>
        </w:rPr>
        <w:t xml:space="preserve">2 </w:t>
      </w:r>
      <w:r>
        <w:rPr>
          <w:rFonts w:hint="eastAsia" w:ascii="黑体" w:hAnsi="黑体" w:eastAsia="黑体"/>
          <w:b w:val="0"/>
          <w:bCs w:val="0"/>
          <w:color w:val="000000"/>
          <w:spacing w:val="4"/>
          <w:kern w:val="2"/>
          <w:sz w:val="21"/>
          <w:szCs w:val="21"/>
        </w:rPr>
        <w:t>规范性引用文件</w:t>
      </w:r>
      <w:bookmarkEnd w:id="27"/>
      <w:bookmarkEnd w:id="28"/>
      <w:bookmarkEnd w:id="29"/>
      <w:bookmarkEnd w:id="30"/>
      <w:bookmarkEnd w:id="31"/>
    </w:p>
    <w:p w14:paraId="4B4D0445">
      <w:pPr>
        <w:ind w:firstLine="420" w:firstLineChars="200"/>
        <w:rPr>
          <w:rFonts w:ascii="Times New Roman" w:hAnsi="Times New Roman"/>
          <w:color w:val="000000"/>
        </w:rPr>
      </w:pPr>
      <w:r>
        <w:rPr>
          <w:rFonts w:ascii="Times New Roman" w:hAnsi="Times New Roman"/>
          <w:color w:val="000000"/>
        </w:rPr>
        <w:t>下列文件中的内容通过文中的规范性引用而构成文本必不可少的条款。其中，注日期的引用文件，仅该日期对应的版本适用于本文件；不注日期的引用文件，其最新版本（包括所有的修改单）适用于本文件。</w:t>
      </w:r>
    </w:p>
    <w:p w14:paraId="64A99C5D">
      <w:pPr>
        <w:ind w:firstLine="420" w:firstLineChars="200"/>
        <w:rPr>
          <w:rFonts w:ascii="Times New Roman" w:hAnsi="Times New Roman"/>
        </w:rPr>
      </w:pPr>
      <w:r>
        <w:rPr>
          <w:rFonts w:hint="eastAsia" w:ascii="Times New Roman" w:hAnsi="Times New Roman"/>
        </w:rPr>
        <w:t>GB/T 500</w:t>
      </w:r>
      <w:r>
        <w:rPr>
          <w:rFonts w:ascii="Times New Roman" w:hAnsi="Times New Roman"/>
        </w:rPr>
        <w:t>9</w:t>
      </w:r>
      <w:r>
        <w:rPr>
          <w:rFonts w:hint="eastAsia" w:ascii="Times New Roman" w:hAnsi="Times New Roman"/>
        </w:rPr>
        <w:t>5</w:t>
      </w:r>
      <w:r>
        <w:rPr>
          <w:rFonts w:ascii="Times New Roman" w:hAnsi="Times New Roman"/>
        </w:rPr>
        <w:t xml:space="preserve">  </w:t>
      </w:r>
      <w:r>
        <w:rPr>
          <w:rFonts w:hint="eastAsia" w:ascii="Times New Roman" w:hAnsi="Times New Roman"/>
        </w:rPr>
        <w:t>水文</w:t>
      </w:r>
      <w:r>
        <w:rPr>
          <w:rFonts w:ascii="Times New Roman" w:hAnsi="Times New Roman"/>
        </w:rPr>
        <w:t>基本</w:t>
      </w:r>
      <w:r>
        <w:rPr>
          <w:rFonts w:hint="eastAsia" w:ascii="Times New Roman" w:hAnsi="Times New Roman"/>
        </w:rPr>
        <w:t>术语</w:t>
      </w:r>
      <w:r>
        <w:rPr>
          <w:rFonts w:ascii="Times New Roman" w:hAnsi="Times New Roman"/>
        </w:rPr>
        <w:t>和符号标准</w:t>
      </w:r>
    </w:p>
    <w:p w14:paraId="59E078B2">
      <w:pPr>
        <w:ind w:firstLine="420" w:firstLineChars="200"/>
        <w:rPr>
          <w:rFonts w:ascii="Times New Roman" w:hAnsi="Times New Roman"/>
        </w:rPr>
      </w:pPr>
      <w:r>
        <w:rPr>
          <w:rFonts w:ascii="Times New Roman" w:hAnsi="Times New Roman"/>
        </w:rPr>
        <w:t>G</w:t>
      </w:r>
      <w:r>
        <w:rPr>
          <w:rFonts w:hint="eastAsia" w:ascii="Times New Roman" w:hAnsi="Times New Roman"/>
        </w:rPr>
        <w:t>B</w:t>
      </w:r>
      <w:r>
        <w:rPr>
          <w:rFonts w:ascii="Times New Roman" w:hAnsi="Times New Roman"/>
        </w:rPr>
        <w:t xml:space="preserve"> 50139  </w:t>
      </w:r>
      <w:r>
        <w:rPr>
          <w:rFonts w:hint="eastAsia" w:ascii="Times New Roman" w:hAnsi="Times New Roman"/>
        </w:rPr>
        <w:t>内河通航标准</w:t>
      </w:r>
    </w:p>
    <w:p w14:paraId="1383277F">
      <w:pPr>
        <w:ind w:firstLine="420" w:firstLineChars="200"/>
        <w:rPr>
          <w:rFonts w:ascii="Times New Roman" w:hAnsi="Times New Roman"/>
        </w:rPr>
      </w:pPr>
      <w:r>
        <w:rPr>
          <w:rFonts w:hint="eastAsia" w:ascii="Times New Roman" w:hAnsi="Times New Roman"/>
        </w:rPr>
        <w:t>GB 50286  堤防工程设计规范</w:t>
      </w:r>
    </w:p>
    <w:p w14:paraId="298EFD05">
      <w:pPr>
        <w:ind w:firstLine="420" w:firstLineChars="200"/>
        <w:rPr>
          <w:rFonts w:ascii="Times New Roman" w:hAnsi="Times New Roman"/>
        </w:rPr>
      </w:pPr>
      <w:r>
        <w:rPr>
          <w:rFonts w:hint="eastAsia" w:ascii="Times New Roman" w:hAnsi="Times New Roman"/>
        </w:rPr>
        <w:t>SL 44  水利</w:t>
      </w:r>
      <w:r>
        <w:rPr>
          <w:rFonts w:ascii="Times New Roman" w:hAnsi="Times New Roman"/>
        </w:rPr>
        <w:t>水电工程设计洪水计算规范</w:t>
      </w:r>
    </w:p>
    <w:p w14:paraId="6D8D6009">
      <w:pPr>
        <w:ind w:firstLine="420" w:firstLineChars="200"/>
        <w:rPr>
          <w:rFonts w:ascii="Times New Roman" w:hAnsi="Times New Roman"/>
        </w:rPr>
      </w:pPr>
      <w:r>
        <w:rPr>
          <w:rFonts w:hint="eastAsia" w:ascii="Times New Roman" w:hAnsi="Times New Roman"/>
        </w:rPr>
        <w:t>SL/T 247  水文资料整编规范</w:t>
      </w:r>
    </w:p>
    <w:p w14:paraId="63AA3473">
      <w:pPr>
        <w:ind w:firstLine="420" w:firstLineChars="200"/>
        <w:rPr>
          <w:rFonts w:ascii="Times New Roman" w:hAnsi="Times New Roman"/>
        </w:rPr>
      </w:pPr>
      <w:r>
        <w:rPr>
          <w:rFonts w:hint="eastAsia" w:ascii="Times New Roman" w:hAnsi="Times New Roman"/>
        </w:rPr>
        <w:t>SL</w:t>
      </w:r>
      <w:r>
        <w:rPr>
          <w:rFonts w:ascii="Times New Roman" w:hAnsi="Times New Roman"/>
        </w:rPr>
        <w:t xml:space="preserve"> </w:t>
      </w:r>
      <w:r>
        <w:rPr>
          <w:rFonts w:hint="eastAsia" w:ascii="Times New Roman" w:hAnsi="Times New Roman"/>
        </w:rPr>
        <w:t>278</w:t>
      </w:r>
      <w:r>
        <w:rPr>
          <w:rFonts w:ascii="Times New Roman" w:hAnsi="Times New Roman"/>
        </w:rPr>
        <w:t xml:space="preserve">  </w:t>
      </w:r>
      <w:r>
        <w:rPr>
          <w:rFonts w:hint="eastAsia" w:ascii="Times New Roman" w:hAnsi="Times New Roman"/>
        </w:rPr>
        <w:t>水利水电工程水文计算规范</w:t>
      </w:r>
    </w:p>
    <w:p w14:paraId="13AB114C">
      <w:pPr>
        <w:ind w:firstLine="420" w:firstLineChars="200"/>
        <w:rPr>
          <w:rFonts w:ascii="Times New Roman" w:hAnsi="Times New Roman"/>
        </w:rPr>
      </w:pPr>
      <w:r>
        <w:rPr>
          <w:rFonts w:ascii="Times New Roman" w:hAnsi="Times New Roman"/>
        </w:rPr>
        <w:t>SL/</w:t>
      </w:r>
      <w:r>
        <w:rPr>
          <w:rFonts w:hint="eastAsia" w:ascii="Times New Roman" w:hAnsi="Times New Roman"/>
        </w:rPr>
        <w:t>T</w:t>
      </w:r>
      <w:r>
        <w:rPr>
          <w:rFonts w:ascii="Times New Roman" w:hAnsi="Times New Roman"/>
        </w:rPr>
        <w:t xml:space="preserve"> 712  </w:t>
      </w:r>
      <w:r>
        <w:rPr>
          <w:rFonts w:hint="eastAsia" w:ascii="Times New Roman" w:hAnsi="Times New Roman"/>
        </w:rPr>
        <w:t>河湖生态环境需水计算规范</w:t>
      </w:r>
    </w:p>
    <w:p w14:paraId="24C34B35">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32" w:name="_Toc21701"/>
      <w:bookmarkStart w:id="33" w:name="_Toc8244201"/>
      <w:bookmarkStart w:id="34" w:name="_Toc450210577"/>
      <w:bookmarkStart w:id="35" w:name="_Toc8244615"/>
      <w:bookmarkStart w:id="36" w:name="_Toc172290856"/>
      <w:r>
        <w:rPr>
          <w:rFonts w:ascii="黑体" w:hAnsi="黑体" w:eastAsia="黑体"/>
          <w:b w:val="0"/>
          <w:bCs w:val="0"/>
          <w:color w:val="000000"/>
          <w:spacing w:val="4"/>
          <w:kern w:val="2"/>
          <w:sz w:val="21"/>
          <w:szCs w:val="21"/>
        </w:rPr>
        <w:t xml:space="preserve">3 </w:t>
      </w:r>
      <w:r>
        <w:rPr>
          <w:rFonts w:hint="eastAsia" w:ascii="黑体" w:hAnsi="黑体" w:eastAsia="黑体"/>
          <w:b w:val="0"/>
          <w:bCs w:val="0"/>
          <w:color w:val="000000"/>
          <w:spacing w:val="4"/>
          <w:kern w:val="2"/>
          <w:sz w:val="21"/>
          <w:szCs w:val="21"/>
        </w:rPr>
        <w:t>术语</w:t>
      </w:r>
      <w:bookmarkEnd w:id="32"/>
      <w:bookmarkEnd w:id="33"/>
      <w:bookmarkEnd w:id="34"/>
      <w:bookmarkEnd w:id="35"/>
      <w:r>
        <w:rPr>
          <w:rFonts w:hint="eastAsia" w:ascii="黑体" w:hAnsi="黑体" w:eastAsia="黑体"/>
          <w:b w:val="0"/>
          <w:bCs w:val="0"/>
          <w:color w:val="000000"/>
          <w:spacing w:val="4"/>
          <w:kern w:val="2"/>
          <w:sz w:val="21"/>
          <w:szCs w:val="21"/>
        </w:rPr>
        <w:t>和定义</w:t>
      </w:r>
      <w:bookmarkEnd w:id="36"/>
    </w:p>
    <w:p w14:paraId="7328E560">
      <w:pPr>
        <w:ind w:firstLine="420" w:firstLineChars="200"/>
        <w:rPr>
          <w:rFonts w:ascii="Times New Roman" w:hAnsi="Times New Roman"/>
          <w:color w:val="000000"/>
        </w:rPr>
      </w:pPr>
      <w:r>
        <w:rPr>
          <w:rFonts w:ascii="Times New Roman" w:hAnsi="Times New Roman"/>
          <w:color w:val="000000"/>
        </w:rPr>
        <w:t>下列术语和定义适用于本文件</w:t>
      </w:r>
      <w:r>
        <w:rPr>
          <w:rFonts w:hint="eastAsia" w:ascii="Times New Roman" w:hAnsi="Times New Roman"/>
          <w:color w:val="000000"/>
        </w:rPr>
        <w:t>。</w:t>
      </w:r>
    </w:p>
    <w:p w14:paraId="02F48BC4">
      <w:pPr>
        <w:rPr>
          <w:rFonts w:hint="eastAsia" w:ascii="黑体" w:hAnsi="黑体" w:eastAsia="黑体"/>
          <w:color w:val="000000"/>
        </w:rPr>
      </w:pPr>
      <w:bookmarkStart w:id="37" w:name="_Toc30515065"/>
      <w:bookmarkStart w:id="38" w:name="_Toc11102"/>
      <w:r>
        <w:rPr>
          <w:rFonts w:ascii="黑体" w:hAnsi="黑体" w:eastAsia="黑体"/>
          <w:color w:val="000000"/>
        </w:rPr>
        <w:t xml:space="preserve">3.1 </w:t>
      </w:r>
    </w:p>
    <w:p w14:paraId="7AA2834A">
      <w:pPr>
        <w:ind w:firstLine="420" w:firstLineChars="200"/>
        <w:rPr>
          <w:rFonts w:hint="eastAsia" w:ascii="黑体" w:hAnsi="黑体" w:eastAsia="黑体"/>
          <w:color w:val="000000"/>
        </w:rPr>
      </w:pPr>
      <w:r>
        <w:rPr>
          <w:rFonts w:hint="eastAsia" w:ascii="黑体" w:hAnsi="黑体" w:eastAsia="黑体"/>
          <w:color w:val="000000"/>
          <w:lang w:val="zh-CN"/>
        </w:rPr>
        <w:t>防汛抗旱特征水位</w:t>
      </w:r>
      <w:r>
        <w:rPr>
          <w:rFonts w:ascii="黑体" w:hAnsi="黑体" w:eastAsia="黑体"/>
          <w:color w:val="000000"/>
        </w:rPr>
        <w:t xml:space="preserve">  flood and drought d</w:t>
      </w:r>
      <w:bookmarkEnd w:id="37"/>
      <w:r>
        <w:rPr>
          <w:rFonts w:hint="eastAsia" w:ascii="黑体" w:hAnsi="黑体" w:eastAsia="黑体"/>
          <w:color w:val="000000"/>
        </w:rPr>
        <w:t xml:space="preserve">efense </w:t>
      </w:r>
      <w:r>
        <w:rPr>
          <w:rFonts w:ascii="黑体" w:hAnsi="黑体" w:eastAsia="黑体"/>
          <w:color w:val="000000"/>
        </w:rPr>
        <w:t>water level</w:t>
      </w:r>
    </w:p>
    <w:p w14:paraId="4793AAB7">
      <w:pPr>
        <w:ind w:firstLine="420" w:firstLineChars="200"/>
        <w:rPr>
          <w:rFonts w:ascii="Times New Roman" w:hAnsi="Times New Roman"/>
          <w:color w:val="000000"/>
        </w:rPr>
      </w:pPr>
      <w:r>
        <w:rPr>
          <w:rFonts w:hint="eastAsia" w:ascii="Times New Roman" w:hAnsi="Times New Roman"/>
          <w:color w:val="000000"/>
        </w:rPr>
        <w:t>反映江河湖泊防汛抗旱形势和</w:t>
      </w:r>
      <w:r>
        <w:rPr>
          <w:rFonts w:ascii="Times New Roman" w:hAnsi="Times New Roman"/>
          <w:color w:val="000000"/>
        </w:rPr>
        <w:t>能力，</w:t>
      </w:r>
      <w:r>
        <w:rPr>
          <w:rFonts w:hint="eastAsia" w:ascii="Times New Roman" w:hAnsi="Times New Roman"/>
          <w:color w:val="000000"/>
        </w:rPr>
        <w:t>作为防汛抗旱指挥</w:t>
      </w:r>
      <w:r>
        <w:rPr>
          <w:rFonts w:ascii="Times New Roman" w:hAnsi="Times New Roman"/>
          <w:color w:val="000000"/>
        </w:rPr>
        <w:t>决策</w:t>
      </w:r>
      <w:r>
        <w:rPr>
          <w:rFonts w:hint="eastAsia" w:ascii="Times New Roman" w:hAnsi="Times New Roman"/>
          <w:color w:val="000000"/>
        </w:rPr>
        <w:t>、预警响应和水工程调度依据的水位，包括警戒水位（3</w:t>
      </w:r>
      <w:r>
        <w:rPr>
          <w:rFonts w:ascii="Times New Roman" w:hAnsi="Times New Roman"/>
          <w:color w:val="000000"/>
        </w:rPr>
        <w:t>.2</w:t>
      </w:r>
      <w:r>
        <w:rPr>
          <w:rFonts w:hint="eastAsia" w:ascii="Times New Roman" w:hAnsi="Times New Roman"/>
          <w:color w:val="000000"/>
        </w:rPr>
        <w:t>）、保证水位（3</w:t>
      </w:r>
      <w:r>
        <w:rPr>
          <w:rFonts w:ascii="Times New Roman" w:hAnsi="Times New Roman"/>
          <w:color w:val="000000"/>
        </w:rPr>
        <w:t>.3</w:t>
      </w:r>
      <w:r>
        <w:rPr>
          <w:rFonts w:hint="eastAsia" w:ascii="Times New Roman" w:hAnsi="Times New Roman"/>
          <w:color w:val="000000"/>
        </w:rPr>
        <w:t>）等防汛特征水位和旱限（警）水位（3</w:t>
      </w:r>
      <w:r>
        <w:rPr>
          <w:rFonts w:ascii="Times New Roman" w:hAnsi="Times New Roman"/>
          <w:color w:val="000000"/>
        </w:rPr>
        <w:t>.4</w:t>
      </w:r>
      <w:r>
        <w:rPr>
          <w:rFonts w:hint="eastAsia" w:ascii="Times New Roman" w:hAnsi="Times New Roman"/>
          <w:color w:val="000000"/>
        </w:rPr>
        <w:t>）等抗旱特征水位。</w:t>
      </w:r>
    </w:p>
    <w:bookmarkEnd w:id="38"/>
    <w:p w14:paraId="07091091">
      <w:pPr>
        <w:rPr>
          <w:rFonts w:hint="eastAsia" w:ascii="黑体" w:hAnsi="黑体" w:eastAsia="黑体"/>
          <w:color w:val="000000"/>
        </w:rPr>
      </w:pPr>
      <w:bookmarkStart w:id="39" w:name="_Toc30515073"/>
      <w:r>
        <w:rPr>
          <w:rFonts w:ascii="黑体" w:hAnsi="黑体" w:eastAsia="黑体"/>
          <w:color w:val="000000"/>
        </w:rPr>
        <w:t xml:space="preserve">3.2 </w:t>
      </w:r>
    </w:p>
    <w:p w14:paraId="01CD353D">
      <w:pPr>
        <w:ind w:firstLine="420" w:firstLineChars="200"/>
        <w:rPr>
          <w:rFonts w:hint="eastAsia" w:ascii="黑体" w:hAnsi="黑体" w:eastAsia="黑体"/>
          <w:color w:val="000000"/>
        </w:rPr>
      </w:pPr>
      <w:r>
        <w:rPr>
          <w:rFonts w:hint="eastAsia" w:ascii="黑体" w:hAnsi="黑体" w:eastAsia="黑体"/>
          <w:color w:val="000000"/>
          <w:lang w:val="zh-CN"/>
        </w:rPr>
        <w:t>警戒水位</w:t>
      </w:r>
      <w:r>
        <w:rPr>
          <w:rFonts w:ascii="黑体" w:hAnsi="黑体" w:eastAsia="黑体"/>
          <w:color w:val="000000"/>
        </w:rPr>
        <w:t xml:space="preserve">  </w:t>
      </w:r>
      <w:bookmarkEnd w:id="39"/>
      <w:r>
        <w:rPr>
          <w:rFonts w:hint="eastAsia" w:ascii="黑体" w:hAnsi="黑体" w:eastAsia="黑体"/>
          <w:color w:val="000000"/>
        </w:rPr>
        <w:t>warning</w:t>
      </w:r>
      <w:r>
        <w:rPr>
          <w:rFonts w:ascii="黑体" w:hAnsi="黑体" w:eastAsia="黑体"/>
          <w:color w:val="000000"/>
        </w:rPr>
        <w:t xml:space="preserve"> </w:t>
      </w:r>
      <w:r>
        <w:rPr>
          <w:rFonts w:hint="eastAsia" w:ascii="黑体" w:hAnsi="黑体" w:eastAsia="黑体"/>
          <w:color w:val="000000"/>
        </w:rPr>
        <w:t>stage</w:t>
      </w:r>
    </w:p>
    <w:p w14:paraId="38801F3B">
      <w:pPr>
        <w:ind w:firstLine="420" w:firstLineChars="200"/>
        <w:rPr>
          <w:rFonts w:ascii="Times New Roman" w:hAnsi="Times New Roman"/>
          <w:color w:val="000000"/>
        </w:rPr>
      </w:pPr>
      <w:r>
        <w:rPr>
          <w:rFonts w:hint="eastAsia" w:ascii="Times New Roman" w:hAnsi="Times New Roman"/>
          <w:color w:val="000000"/>
          <w:lang w:val="zh-CN"/>
        </w:rPr>
        <w:t>江河湖泊洪水普遍漫滩或堤防普遍临水</w:t>
      </w:r>
      <w:r>
        <w:rPr>
          <w:rFonts w:hint="eastAsia" w:ascii="Times New Roman" w:hAnsi="Times New Roman"/>
          <w:color w:val="000000"/>
        </w:rPr>
        <w:t>，</w:t>
      </w:r>
      <w:r>
        <w:rPr>
          <w:rFonts w:hint="eastAsia" w:ascii="Times New Roman" w:hAnsi="Times New Roman"/>
          <w:color w:val="000000"/>
          <w:lang w:val="zh-CN"/>
        </w:rPr>
        <w:t>可能发生险情</w:t>
      </w:r>
      <w:r>
        <w:rPr>
          <w:rFonts w:hint="eastAsia" w:ascii="Times New Roman" w:hAnsi="Times New Roman"/>
          <w:color w:val="000000"/>
        </w:rPr>
        <w:t>，</w:t>
      </w:r>
      <w:r>
        <w:rPr>
          <w:rFonts w:hint="eastAsia" w:ascii="Times New Roman" w:hAnsi="Times New Roman"/>
          <w:color w:val="000000"/>
          <w:lang w:val="zh-CN"/>
        </w:rPr>
        <w:t>需发布洪水预警</w:t>
      </w:r>
      <w:r>
        <w:rPr>
          <w:rFonts w:hint="eastAsia" w:ascii="Times New Roman" w:hAnsi="Times New Roman"/>
          <w:color w:val="000000"/>
        </w:rPr>
        <w:t>，</w:t>
      </w:r>
      <w:r>
        <w:rPr>
          <w:rFonts w:hint="eastAsia" w:ascii="Times New Roman" w:hAnsi="Times New Roman"/>
          <w:color w:val="000000"/>
          <w:lang w:val="zh-CN"/>
        </w:rPr>
        <w:t>加强防守等措施的起始水位。</w:t>
      </w:r>
    </w:p>
    <w:p w14:paraId="263AEB83">
      <w:pPr>
        <w:rPr>
          <w:rFonts w:hint="eastAsia" w:ascii="黑体" w:hAnsi="黑体" w:eastAsia="黑体"/>
          <w:color w:val="000000"/>
        </w:rPr>
      </w:pPr>
      <w:bookmarkStart w:id="40" w:name="_Toc30515074"/>
      <w:r>
        <w:rPr>
          <w:rFonts w:ascii="黑体" w:hAnsi="黑体" w:eastAsia="黑体"/>
          <w:color w:val="000000"/>
        </w:rPr>
        <w:t xml:space="preserve">3.3 </w:t>
      </w:r>
    </w:p>
    <w:p w14:paraId="3D69B93C">
      <w:pPr>
        <w:ind w:firstLine="420" w:firstLineChars="200"/>
        <w:rPr>
          <w:rFonts w:hint="eastAsia" w:ascii="黑体" w:hAnsi="黑体" w:eastAsia="黑体"/>
          <w:color w:val="000000"/>
        </w:rPr>
      </w:pPr>
      <w:r>
        <w:rPr>
          <w:rFonts w:hint="eastAsia" w:ascii="黑体" w:hAnsi="黑体" w:eastAsia="黑体"/>
          <w:color w:val="000000"/>
          <w:lang w:val="zh-CN"/>
        </w:rPr>
        <w:t>保证水位</w:t>
      </w:r>
      <w:r>
        <w:rPr>
          <w:rFonts w:ascii="黑体" w:hAnsi="黑体" w:eastAsia="黑体"/>
          <w:color w:val="000000"/>
        </w:rPr>
        <w:t xml:space="preserve">  highest </w:t>
      </w:r>
      <w:r>
        <w:rPr>
          <w:rFonts w:hint="eastAsia" w:ascii="黑体" w:hAnsi="黑体" w:eastAsia="黑体"/>
          <w:color w:val="000000"/>
        </w:rPr>
        <w:t>safety</w:t>
      </w:r>
      <w:r>
        <w:rPr>
          <w:rFonts w:ascii="黑体" w:hAnsi="黑体" w:eastAsia="黑体"/>
          <w:color w:val="000000"/>
        </w:rPr>
        <w:t xml:space="preserve"> stage</w:t>
      </w:r>
      <w:bookmarkEnd w:id="40"/>
    </w:p>
    <w:p w14:paraId="1BF418ED">
      <w:pPr>
        <w:ind w:firstLine="420" w:firstLineChars="200"/>
        <w:rPr>
          <w:rFonts w:ascii="Times New Roman" w:hAnsi="Times New Roman"/>
          <w:color w:val="000000"/>
        </w:rPr>
      </w:pPr>
      <w:r>
        <w:rPr>
          <w:rFonts w:hint="eastAsia" w:ascii="Times New Roman" w:hAnsi="Times New Roman"/>
          <w:color w:val="000000"/>
          <w:lang w:val="zh-CN"/>
        </w:rPr>
        <w:t>保证江河湖泊堤防及其附属工程安全挡水的上限水位。</w:t>
      </w:r>
    </w:p>
    <w:p w14:paraId="7E6D05AC">
      <w:pPr>
        <w:rPr>
          <w:rFonts w:hint="eastAsia" w:ascii="黑体" w:hAnsi="黑体" w:eastAsia="黑体"/>
          <w:color w:val="000000"/>
        </w:rPr>
      </w:pPr>
      <w:r>
        <w:rPr>
          <w:rFonts w:ascii="黑体" w:hAnsi="黑体" w:eastAsia="黑体"/>
          <w:color w:val="000000"/>
        </w:rPr>
        <w:t xml:space="preserve">3.4 </w:t>
      </w:r>
    </w:p>
    <w:p w14:paraId="377FA5ED">
      <w:pPr>
        <w:ind w:firstLine="420" w:firstLineChars="200"/>
        <w:rPr>
          <w:rFonts w:hint="eastAsia" w:ascii="黑体" w:hAnsi="黑体" w:eastAsia="黑体"/>
          <w:color w:val="000000"/>
        </w:rPr>
      </w:pPr>
      <w:r>
        <w:rPr>
          <w:rFonts w:hint="eastAsia" w:ascii="黑体" w:hAnsi="黑体" w:eastAsia="黑体"/>
          <w:color w:val="000000"/>
        </w:rPr>
        <w:t>旱限（警）水位</w:t>
      </w:r>
      <w:r>
        <w:rPr>
          <w:rFonts w:ascii="黑体" w:hAnsi="黑体" w:eastAsia="黑体"/>
          <w:color w:val="000000"/>
        </w:rPr>
        <w:t xml:space="preserve">  </w:t>
      </w:r>
      <w:r>
        <w:rPr>
          <w:rFonts w:hint="eastAsia" w:ascii="黑体" w:hAnsi="黑体" w:eastAsia="黑体"/>
          <w:color w:val="000000"/>
        </w:rPr>
        <w:t>drought</w:t>
      </w:r>
      <w:r>
        <w:rPr>
          <w:rFonts w:ascii="黑体" w:hAnsi="黑体" w:eastAsia="黑体"/>
          <w:color w:val="000000"/>
        </w:rPr>
        <w:t xml:space="preserve"> defense </w:t>
      </w:r>
      <w:r>
        <w:rPr>
          <w:rFonts w:hint="eastAsia" w:ascii="黑体" w:hAnsi="黑体" w:eastAsia="黑体"/>
          <w:color w:val="000000"/>
        </w:rPr>
        <w:t>warning</w:t>
      </w:r>
      <w:r>
        <w:rPr>
          <w:rFonts w:ascii="黑体" w:hAnsi="黑体" w:eastAsia="黑体"/>
          <w:color w:val="000000"/>
        </w:rPr>
        <w:t xml:space="preserve"> </w:t>
      </w:r>
      <w:r>
        <w:rPr>
          <w:rFonts w:hint="eastAsia" w:ascii="黑体" w:hAnsi="黑体" w:eastAsia="黑体"/>
          <w:color w:val="000000"/>
        </w:rPr>
        <w:t>stage</w:t>
      </w:r>
    </w:p>
    <w:p w14:paraId="370D341D">
      <w:pPr>
        <w:ind w:firstLine="420" w:firstLineChars="200"/>
        <w:rPr>
          <w:rFonts w:ascii="Times New Roman" w:hAnsi="Times New Roman"/>
          <w:color w:val="000000"/>
        </w:rPr>
      </w:pPr>
      <w:r>
        <w:rPr>
          <w:rFonts w:ascii="Times New Roman" w:hAnsi="Times New Roman"/>
          <w:color w:val="000000"/>
        </w:rPr>
        <w:t>江河湖泊水位持续偏低，影响城乡</w:t>
      </w:r>
      <w:r>
        <w:rPr>
          <w:rFonts w:hint="eastAsia" w:ascii="Times New Roman" w:hAnsi="Times New Roman"/>
          <w:color w:val="000000"/>
        </w:rPr>
        <w:t>供水</w:t>
      </w:r>
      <w:r>
        <w:rPr>
          <w:rFonts w:ascii="Times New Roman" w:hAnsi="Times New Roman"/>
          <w:color w:val="000000"/>
        </w:rPr>
        <w:t>、工业生产、</w:t>
      </w:r>
      <w:r>
        <w:rPr>
          <w:rFonts w:hint="eastAsia" w:ascii="Times New Roman" w:hAnsi="Times New Roman"/>
          <w:color w:val="000000"/>
        </w:rPr>
        <w:t>农业灌溉、交通航运、</w:t>
      </w:r>
      <w:r>
        <w:rPr>
          <w:rFonts w:ascii="Times New Roman" w:hAnsi="Times New Roman"/>
          <w:color w:val="000000"/>
        </w:rPr>
        <w:t>生态环境等用水安全，</w:t>
      </w:r>
      <w:r>
        <w:rPr>
          <w:rFonts w:hint="eastAsia" w:ascii="Times New Roman" w:hAnsi="Times New Roman"/>
          <w:color w:val="000000"/>
        </w:rPr>
        <w:t>需发布干旱预警，</w:t>
      </w:r>
      <w:r>
        <w:rPr>
          <w:rFonts w:ascii="Times New Roman" w:hAnsi="Times New Roman"/>
          <w:color w:val="000000"/>
        </w:rPr>
        <w:t>采取抗旱措施的水位</w:t>
      </w:r>
      <w:r>
        <w:rPr>
          <w:rFonts w:hint="eastAsia" w:ascii="Times New Roman" w:hAnsi="Times New Roman"/>
          <w:color w:val="000000"/>
        </w:rPr>
        <w:t>。</w:t>
      </w:r>
    </w:p>
    <w:p w14:paraId="10950D29">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41" w:name="_Toc172290857"/>
      <w:r>
        <w:rPr>
          <w:rFonts w:ascii="黑体" w:hAnsi="黑体" w:eastAsia="黑体"/>
          <w:b w:val="0"/>
          <w:bCs w:val="0"/>
          <w:color w:val="000000"/>
          <w:spacing w:val="4"/>
          <w:kern w:val="2"/>
          <w:sz w:val="21"/>
          <w:szCs w:val="21"/>
        </w:rPr>
        <w:t xml:space="preserve">4 </w:t>
      </w:r>
      <w:r>
        <w:rPr>
          <w:rFonts w:hint="eastAsia" w:ascii="黑体" w:hAnsi="黑体" w:eastAsia="黑体"/>
          <w:b w:val="0"/>
          <w:bCs w:val="0"/>
          <w:color w:val="000000"/>
          <w:spacing w:val="4"/>
          <w:kern w:val="2"/>
          <w:sz w:val="21"/>
          <w:szCs w:val="21"/>
        </w:rPr>
        <w:t>总体要求</w:t>
      </w:r>
      <w:bookmarkEnd w:id="41"/>
    </w:p>
    <w:p w14:paraId="4126A274">
      <w:pPr>
        <w:rPr>
          <w:rFonts w:hint="eastAsia" w:ascii="黑体" w:hAnsi="黑体" w:eastAsia="黑体"/>
          <w:color w:val="000000"/>
          <w:lang w:val="zh-CN"/>
        </w:rPr>
      </w:pPr>
      <w:bookmarkStart w:id="42" w:name="_Toc30515078"/>
      <w:bookmarkStart w:id="43" w:name="_Toc29752649"/>
      <w:r>
        <w:rPr>
          <w:rFonts w:hint="eastAsia" w:ascii="黑体" w:hAnsi="黑体" w:eastAsia="黑体"/>
          <w:color w:val="000000"/>
          <w:lang w:val="zh-CN"/>
        </w:rPr>
        <w:t>4</w:t>
      </w:r>
      <w:r>
        <w:rPr>
          <w:rFonts w:ascii="黑体" w:hAnsi="黑体" w:eastAsia="黑体"/>
          <w:color w:val="000000"/>
          <w:lang w:val="zh-CN"/>
        </w:rPr>
        <w:t xml:space="preserve">.1 </w:t>
      </w:r>
      <w:r>
        <w:rPr>
          <w:rFonts w:hint="eastAsia" w:ascii="黑体" w:hAnsi="黑体" w:eastAsia="黑体"/>
          <w:color w:val="000000"/>
          <w:lang w:val="zh-CN"/>
        </w:rPr>
        <w:t>核定原则</w:t>
      </w:r>
    </w:p>
    <w:p w14:paraId="02331DB4">
      <w:pPr>
        <w:rPr>
          <w:rFonts w:ascii="Times New Roman" w:hAnsi="Times New Roman" w:eastAsia="黑体"/>
          <w:color w:val="000000"/>
          <w:lang w:val="zh-CN"/>
        </w:rPr>
      </w:pPr>
      <w:r>
        <w:rPr>
          <w:rFonts w:ascii="黑体" w:hAnsi="黑体" w:eastAsia="黑体"/>
          <w:color w:val="000000"/>
          <w:lang w:val="zh-CN"/>
        </w:rPr>
        <w:t xml:space="preserve">4.1.1 </w:t>
      </w:r>
      <w:r>
        <w:rPr>
          <w:rFonts w:hint="eastAsia" w:ascii="Times New Roman" w:hAnsi="Times New Roman"/>
          <w:color w:val="000000"/>
          <w:lang w:val="zh-CN"/>
        </w:rPr>
        <w:t>防汛抗旱特征水位核定应遵循安全、科学、实用的原则。</w:t>
      </w:r>
    </w:p>
    <w:p w14:paraId="7E072288">
      <w:pPr>
        <w:rPr>
          <w:rFonts w:ascii="Times New Roman" w:hAnsi="Times New Roman"/>
          <w:color w:val="000000"/>
          <w:lang w:val="zh-CN"/>
        </w:rPr>
      </w:pPr>
      <w:r>
        <w:rPr>
          <w:rFonts w:ascii="黑体" w:hAnsi="黑体" w:eastAsia="黑体"/>
          <w:color w:val="000000"/>
          <w:lang w:val="zh-CN"/>
        </w:rPr>
        <w:t xml:space="preserve">4.1.2 </w:t>
      </w:r>
      <w:r>
        <w:rPr>
          <w:rFonts w:hint="eastAsia" w:ascii="Times New Roman" w:hAnsi="Times New Roman"/>
          <w:color w:val="000000"/>
          <w:lang w:val="zh-CN"/>
        </w:rPr>
        <w:t>防汛抗旱特征水位核定应基于工程现状和防汛抗旱工作实际，统筹兼顾经济、社会、环境等因素，并考虑与上下游、干支流及周边地区相协调。</w:t>
      </w:r>
    </w:p>
    <w:p w14:paraId="72C4B8B0">
      <w:pPr>
        <w:rPr>
          <w:rFonts w:hint="eastAsia" w:ascii="黑体" w:hAnsi="黑体" w:eastAsia="黑体"/>
          <w:color w:val="000000"/>
          <w:lang w:val="zh-CN"/>
        </w:rPr>
      </w:pPr>
      <w:r>
        <w:rPr>
          <w:rFonts w:hint="eastAsia" w:ascii="黑体" w:hAnsi="黑体" w:eastAsia="黑体"/>
          <w:color w:val="000000"/>
          <w:lang w:val="zh-CN"/>
        </w:rPr>
        <w:t>4</w:t>
      </w:r>
      <w:r>
        <w:rPr>
          <w:rFonts w:ascii="黑体" w:hAnsi="黑体" w:eastAsia="黑体"/>
          <w:color w:val="000000"/>
          <w:lang w:val="zh-CN"/>
        </w:rPr>
        <w:t>.</w:t>
      </w:r>
      <w:r>
        <w:rPr>
          <w:rFonts w:hint="eastAsia" w:ascii="黑体" w:hAnsi="黑体" w:eastAsia="黑体"/>
          <w:color w:val="000000"/>
          <w:lang w:val="zh-CN"/>
        </w:rPr>
        <w:t>2</w:t>
      </w:r>
      <w:r>
        <w:rPr>
          <w:rFonts w:ascii="黑体" w:hAnsi="黑体" w:eastAsia="黑体"/>
          <w:color w:val="000000"/>
          <w:lang w:val="zh-CN"/>
        </w:rPr>
        <w:t xml:space="preserve"> </w:t>
      </w:r>
      <w:r>
        <w:rPr>
          <w:rFonts w:hint="eastAsia" w:ascii="黑体" w:hAnsi="黑体" w:eastAsia="黑体"/>
          <w:color w:val="000000"/>
          <w:lang w:val="zh-CN"/>
        </w:rPr>
        <w:t>核定程序</w:t>
      </w:r>
    </w:p>
    <w:p w14:paraId="7FEE1D76">
      <w:pPr>
        <w:rPr>
          <w:rFonts w:hint="eastAsia" w:ascii="黑体" w:hAnsi="黑体" w:eastAsia="黑体"/>
          <w:color w:val="000000"/>
          <w:lang w:val="zh-CN"/>
        </w:rPr>
      </w:pPr>
      <w:r>
        <w:rPr>
          <w:rFonts w:hint="eastAsia" w:ascii="黑体" w:hAnsi="黑体" w:eastAsia="黑体"/>
          <w:color w:val="000000"/>
          <w:lang w:val="zh-CN"/>
        </w:rPr>
        <w:t>4</w:t>
      </w:r>
      <w:r>
        <w:rPr>
          <w:rFonts w:ascii="黑体" w:hAnsi="黑体" w:eastAsia="黑体"/>
          <w:color w:val="000000"/>
          <w:lang w:val="zh-CN"/>
        </w:rPr>
        <w:t>.</w:t>
      </w:r>
      <w:r>
        <w:rPr>
          <w:rFonts w:hint="eastAsia" w:ascii="黑体" w:hAnsi="黑体" w:eastAsia="黑体"/>
          <w:color w:val="000000"/>
          <w:lang w:val="zh-CN"/>
        </w:rPr>
        <w:t>2</w:t>
      </w:r>
      <w:r>
        <w:rPr>
          <w:rFonts w:ascii="黑体" w:hAnsi="黑体" w:eastAsia="黑体"/>
          <w:color w:val="000000"/>
          <w:lang w:val="zh-CN"/>
        </w:rPr>
        <w:t>.</w:t>
      </w:r>
      <w:r>
        <w:rPr>
          <w:rFonts w:hint="eastAsia" w:ascii="黑体" w:hAnsi="黑体" w:eastAsia="黑体"/>
          <w:color w:val="000000"/>
          <w:lang w:val="zh-CN"/>
        </w:rPr>
        <w:t>1</w:t>
      </w:r>
      <w:r>
        <w:rPr>
          <w:rFonts w:ascii="黑体" w:hAnsi="黑体" w:eastAsia="黑体"/>
          <w:color w:val="000000"/>
          <w:lang w:val="zh-CN"/>
        </w:rPr>
        <w:t xml:space="preserve"> </w:t>
      </w:r>
      <w:r>
        <w:rPr>
          <w:rFonts w:hint="eastAsia" w:ascii="Times New Roman" w:hAnsi="Times New Roman"/>
          <w:color w:val="000000"/>
          <w:lang w:val="zh-CN"/>
        </w:rPr>
        <w:t>流域性、区域性江河湖泊重要站点的防汛抗旱特征水位由省水行政主管部门组织核定、审查、批复和启用；其他站点由设区市水行政主管部门组织核定、审查、批复和启用，并报省水行政主管部门备案。国务院水行政主管部门和相关流域管理机构另有规定的，从其规定。</w:t>
      </w:r>
    </w:p>
    <w:p w14:paraId="6CED3CDD">
      <w:pPr>
        <w:rPr>
          <w:rFonts w:ascii="Times New Roman" w:hAnsi="Times New Roman"/>
          <w:color w:val="000000"/>
          <w:lang w:val="zh-CN"/>
        </w:rPr>
      </w:pPr>
      <w:r>
        <w:rPr>
          <w:rFonts w:hint="eastAsia" w:ascii="黑体" w:hAnsi="黑体" w:eastAsia="黑体"/>
          <w:color w:val="000000"/>
          <w:lang w:val="zh-CN"/>
        </w:rPr>
        <w:t>4</w:t>
      </w:r>
      <w:r>
        <w:rPr>
          <w:rFonts w:ascii="黑体" w:hAnsi="黑体" w:eastAsia="黑体"/>
          <w:color w:val="000000"/>
          <w:lang w:val="zh-CN"/>
        </w:rPr>
        <w:t>.</w:t>
      </w:r>
      <w:r>
        <w:rPr>
          <w:rFonts w:hint="eastAsia" w:ascii="黑体" w:hAnsi="黑体" w:eastAsia="黑体"/>
          <w:color w:val="000000"/>
          <w:lang w:val="zh-CN"/>
        </w:rPr>
        <w:t>2.2</w:t>
      </w:r>
      <w:r>
        <w:rPr>
          <w:rFonts w:ascii="黑体" w:hAnsi="黑体" w:eastAsia="黑体"/>
          <w:color w:val="000000"/>
          <w:lang w:val="zh-CN"/>
        </w:rPr>
        <w:t xml:space="preserve"> </w:t>
      </w:r>
      <w:r>
        <w:rPr>
          <w:rFonts w:hint="eastAsia" w:ascii="Times New Roman" w:hAnsi="Times New Roman"/>
          <w:color w:val="000000"/>
          <w:lang w:val="zh-CN"/>
        </w:rPr>
        <w:t>防汛抗旱特征水位核定应开展分析论证，编制技术</w:t>
      </w:r>
      <w:r>
        <w:rPr>
          <w:rFonts w:ascii="Times New Roman" w:hAnsi="Times New Roman"/>
          <w:color w:val="000000"/>
          <w:lang w:val="zh-CN"/>
        </w:rPr>
        <w:t>报告</w:t>
      </w:r>
      <w:r>
        <w:rPr>
          <w:rFonts w:hint="eastAsia" w:ascii="Times New Roman" w:hAnsi="Times New Roman"/>
          <w:color w:val="000000"/>
          <w:lang w:val="zh-CN"/>
        </w:rPr>
        <w:t>。</w:t>
      </w:r>
      <w:r>
        <w:rPr>
          <w:rFonts w:hint="eastAsia" w:ascii="Times New Roman" w:hAnsi="Times New Roman"/>
          <w:color w:val="000000"/>
        </w:rPr>
        <w:t>核定成果应征求相关部门和单位意见，</w:t>
      </w:r>
      <w:r>
        <w:rPr>
          <w:rFonts w:ascii="Times New Roman" w:hAnsi="Times New Roman"/>
          <w:color w:val="000000"/>
        </w:rPr>
        <w:t>并组织专家</w:t>
      </w:r>
      <w:r>
        <w:rPr>
          <w:rFonts w:hint="eastAsia" w:ascii="Times New Roman" w:hAnsi="Times New Roman"/>
          <w:color w:val="000000"/>
        </w:rPr>
        <w:t>咨询。</w:t>
      </w:r>
      <w:r>
        <w:rPr>
          <w:rFonts w:hint="eastAsia" w:ascii="Times New Roman" w:hAnsi="Times New Roman"/>
          <w:color w:val="000000"/>
          <w:lang w:val="zh-CN"/>
        </w:rPr>
        <w:t>技术报告</w:t>
      </w:r>
      <w:r>
        <w:rPr>
          <w:rFonts w:ascii="Times New Roman" w:hAnsi="Times New Roman"/>
          <w:color w:val="000000"/>
          <w:lang w:val="zh-CN"/>
        </w:rPr>
        <w:t>提纲示例</w:t>
      </w:r>
      <w:r>
        <w:rPr>
          <w:rFonts w:hint="eastAsia" w:ascii="Times New Roman" w:hAnsi="Times New Roman"/>
          <w:color w:val="000000"/>
          <w:lang w:val="zh-CN"/>
        </w:rPr>
        <w:t>参</w:t>
      </w:r>
      <w:r>
        <w:rPr>
          <w:rFonts w:ascii="Times New Roman" w:hAnsi="Times New Roman"/>
          <w:color w:val="000000"/>
          <w:lang w:val="zh-CN"/>
        </w:rPr>
        <w:t>见附录</w:t>
      </w:r>
      <w:r>
        <w:rPr>
          <w:rFonts w:hint="eastAsia" w:ascii="Times New Roman" w:hAnsi="Times New Roman"/>
          <w:color w:val="000000"/>
          <w:lang w:val="zh-CN"/>
        </w:rPr>
        <w:t>A。</w:t>
      </w:r>
    </w:p>
    <w:p w14:paraId="6444D402">
      <w:pPr>
        <w:rPr>
          <w:rFonts w:ascii="Times New Roman" w:hAnsi="Times New Roman"/>
          <w:color w:val="000000"/>
          <w:lang w:val="zh-CN"/>
        </w:rPr>
      </w:pPr>
      <w:r>
        <w:rPr>
          <w:rFonts w:ascii="黑体" w:hAnsi="黑体" w:eastAsia="黑体"/>
          <w:color w:val="000000"/>
          <w:lang w:val="zh-CN"/>
        </w:rPr>
        <w:t>4.</w:t>
      </w:r>
      <w:r>
        <w:rPr>
          <w:rFonts w:hint="eastAsia" w:ascii="黑体" w:hAnsi="黑体" w:eastAsia="黑体"/>
          <w:color w:val="000000"/>
          <w:lang w:val="zh-CN"/>
        </w:rPr>
        <w:t>2.3</w:t>
      </w:r>
      <w:r>
        <w:rPr>
          <w:rFonts w:ascii="Times New Roman" w:hAnsi="Times New Roman"/>
          <w:color w:val="000000"/>
          <w:lang w:val="zh-CN"/>
        </w:rPr>
        <w:t xml:space="preserve"> 当</w:t>
      </w:r>
      <w:r>
        <w:rPr>
          <w:rFonts w:hint="eastAsia" w:ascii="Times New Roman" w:hAnsi="Times New Roman"/>
          <w:color w:val="000000"/>
          <w:lang w:val="zh-CN"/>
        </w:rPr>
        <w:t>流域、区域水情和工情</w:t>
      </w:r>
      <w:r>
        <w:rPr>
          <w:rFonts w:ascii="Times New Roman" w:hAnsi="Times New Roman"/>
          <w:color w:val="000000"/>
          <w:lang w:val="zh-CN"/>
        </w:rPr>
        <w:t>发生较大变化</w:t>
      </w:r>
      <w:r>
        <w:rPr>
          <w:rFonts w:hint="eastAsia" w:ascii="Times New Roman" w:hAnsi="Times New Roman"/>
          <w:color w:val="000000"/>
          <w:lang w:val="zh-CN"/>
        </w:rPr>
        <w:t>，省、市水行政主管部门</w:t>
      </w:r>
      <w:r>
        <w:rPr>
          <w:rFonts w:ascii="Times New Roman" w:hAnsi="Times New Roman"/>
          <w:color w:val="000000"/>
          <w:lang w:val="zh-CN"/>
        </w:rPr>
        <w:t>应及时</w:t>
      </w:r>
      <w:r>
        <w:rPr>
          <w:rFonts w:hint="eastAsia" w:ascii="Times New Roman" w:hAnsi="Times New Roman"/>
          <w:color w:val="000000"/>
          <w:lang w:val="zh-CN"/>
        </w:rPr>
        <w:t>组织开展防汛抗旱特征水位复核工作。</w:t>
      </w:r>
    </w:p>
    <w:p w14:paraId="3F8635F4">
      <w:pPr>
        <w:rPr>
          <w:rFonts w:hint="eastAsia" w:ascii="黑体" w:hAnsi="黑体" w:eastAsia="黑体"/>
          <w:color w:val="000000"/>
          <w:lang w:val="zh-CN"/>
        </w:rPr>
      </w:pPr>
      <w:r>
        <w:rPr>
          <w:rFonts w:ascii="黑体" w:hAnsi="黑体" w:eastAsia="黑体"/>
          <w:color w:val="000000"/>
          <w:lang w:val="zh-CN"/>
        </w:rPr>
        <w:t>4.</w:t>
      </w:r>
      <w:r>
        <w:rPr>
          <w:rFonts w:hint="eastAsia" w:ascii="黑体" w:hAnsi="黑体" w:eastAsia="黑体"/>
          <w:color w:val="000000"/>
          <w:lang w:val="zh-CN"/>
        </w:rPr>
        <w:t>3</w:t>
      </w:r>
      <w:r>
        <w:rPr>
          <w:rFonts w:ascii="黑体" w:hAnsi="黑体" w:eastAsia="黑体"/>
          <w:color w:val="000000"/>
          <w:lang w:val="zh-CN"/>
        </w:rPr>
        <w:t xml:space="preserve"> </w:t>
      </w:r>
      <w:r>
        <w:rPr>
          <w:rFonts w:hint="eastAsia" w:ascii="黑体" w:hAnsi="黑体" w:eastAsia="黑体"/>
          <w:color w:val="000000"/>
          <w:lang w:val="zh-CN"/>
        </w:rPr>
        <w:t>技术路线</w:t>
      </w:r>
    </w:p>
    <w:p w14:paraId="1AD0BAB1">
      <w:pPr>
        <w:ind w:firstLine="420" w:firstLineChars="200"/>
        <w:rPr>
          <w:rFonts w:ascii="Times New Roman" w:hAnsi="Times New Roman"/>
          <w:color w:val="000000"/>
          <w:lang w:val="zh-CN"/>
        </w:rPr>
      </w:pPr>
      <w:r>
        <w:rPr>
          <w:rFonts w:hint="eastAsia" w:ascii="Times New Roman" w:hAnsi="Times New Roman"/>
          <w:color w:val="000000"/>
          <w:lang w:val="zh-CN"/>
        </w:rPr>
        <w:t>防汛抗旱特征水位核定应在收集整理水文、工程现状、社会经济等资料的基础上，</w:t>
      </w:r>
      <w:r>
        <w:rPr>
          <w:rFonts w:hint="eastAsia" w:ascii="Times New Roman" w:hAnsi="Times New Roman"/>
          <w:color w:val="000000"/>
        </w:rPr>
        <w:t>运用水文统计分析、数学</w:t>
      </w:r>
      <w:r>
        <w:rPr>
          <w:rFonts w:ascii="Times New Roman" w:hAnsi="Times New Roman"/>
          <w:color w:val="000000"/>
          <w:lang w:val="zh-CN"/>
        </w:rPr>
        <w:t>模型</w:t>
      </w:r>
      <w:r>
        <w:rPr>
          <w:rFonts w:hint="eastAsia" w:ascii="Times New Roman" w:hAnsi="Times New Roman"/>
          <w:color w:val="000000"/>
          <w:lang w:val="zh-CN"/>
        </w:rPr>
        <w:t>计算</w:t>
      </w:r>
      <w:r>
        <w:rPr>
          <w:rFonts w:hint="eastAsia" w:ascii="Times New Roman" w:hAnsi="Times New Roman"/>
          <w:color w:val="000000"/>
        </w:rPr>
        <w:t>等方法</w:t>
      </w:r>
      <w:r>
        <w:rPr>
          <w:rFonts w:hint="eastAsia" w:ascii="Times New Roman" w:hAnsi="Times New Roman"/>
          <w:color w:val="000000"/>
          <w:lang w:val="zh-CN"/>
        </w:rPr>
        <w:t>，综合工程现状防洪能力、历史水旱灾害情况、防汛抗旱预案和工作制度等论证确定，并进行合理性分析。防汛抗旱特征水位核定应按照下列步骤进行：</w:t>
      </w:r>
    </w:p>
    <w:p w14:paraId="5496E51A">
      <w:pPr>
        <w:ind w:firstLine="420" w:firstLineChars="200"/>
        <w:rPr>
          <w:rFonts w:ascii="Times New Roman" w:hAnsi="Times New Roman"/>
          <w:color w:val="000000"/>
          <w:lang w:val="zh-CN"/>
        </w:rPr>
      </w:pPr>
      <w:r>
        <w:rPr>
          <w:rFonts w:ascii="Times New Roman" w:hAnsi="Times New Roman"/>
          <w:color w:val="000000"/>
          <w:lang w:val="zh-CN"/>
        </w:rPr>
        <w:t>a</w:t>
      </w:r>
      <w:r>
        <w:rPr>
          <w:rFonts w:hint="eastAsia" w:ascii="Times New Roman" w:hAnsi="Times New Roman"/>
          <w:color w:val="000000"/>
          <w:lang w:val="zh-CN"/>
        </w:rPr>
        <w:t>）选取反映江河湖泊防汛抗旱形势、具有代表性的核定站点；</w:t>
      </w:r>
    </w:p>
    <w:p w14:paraId="3BDFF741">
      <w:pPr>
        <w:ind w:firstLine="420" w:firstLineChars="200"/>
        <w:rPr>
          <w:rFonts w:ascii="Times New Roman" w:hAnsi="Times New Roman"/>
          <w:color w:val="000000"/>
          <w:lang w:val="zh-CN"/>
        </w:rPr>
      </w:pPr>
      <w:r>
        <w:rPr>
          <w:rFonts w:hint="eastAsia" w:ascii="Times New Roman" w:hAnsi="Times New Roman"/>
          <w:color w:val="000000"/>
          <w:lang w:val="zh-CN"/>
        </w:rPr>
        <w:t>b）收集资料，并进行整理、复核和统计分析；</w:t>
      </w:r>
    </w:p>
    <w:p w14:paraId="1A1D462B">
      <w:pPr>
        <w:ind w:firstLine="420" w:firstLineChars="200"/>
        <w:rPr>
          <w:rFonts w:ascii="Times New Roman" w:hAnsi="Times New Roman"/>
          <w:color w:val="000000"/>
          <w:lang w:val="zh-CN"/>
        </w:rPr>
      </w:pPr>
      <w:r>
        <w:rPr>
          <w:rFonts w:hint="eastAsia" w:ascii="Times New Roman" w:hAnsi="Times New Roman"/>
          <w:color w:val="000000"/>
          <w:lang w:val="zh-CN"/>
        </w:rPr>
        <w:t>c）开展水文分析与计算，结合工程现状防洪能力、历史洪水防御等情况，核定警戒水位、保证水位；当同一河道上下游、左右岸的堤防标准有较大差别时，可分别核定警戒水位、保证水位；</w:t>
      </w:r>
    </w:p>
    <w:p w14:paraId="70199305">
      <w:pPr>
        <w:ind w:firstLine="420" w:firstLineChars="200"/>
        <w:rPr>
          <w:rFonts w:ascii="Times New Roman" w:hAnsi="Times New Roman"/>
          <w:color w:val="000000"/>
          <w:lang w:val="zh-CN"/>
        </w:rPr>
      </w:pPr>
      <w:r>
        <w:rPr>
          <w:rFonts w:hint="eastAsia" w:ascii="Times New Roman" w:hAnsi="Times New Roman"/>
          <w:color w:val="000000"/>
          <w:lang w:val="zh-CN"/>
        </w:rPr>
        <w:t>d）分析不同行业对江河湖泊水位的保障需求，结合历史旱情，核定旱限（警）水位；</w:t>
      </w:r>
    </w:p>
    <w:p w14:paraId="202A17E3">
      <w:pPr>
        <w:ind w:firstLine="420" w:firstLineChars="200"/>
        <w:rPr>
          <w:rFonts w:ascii="Times New Roman" w:hAnsi="Times New Roman"/>
          <w:color w:val="000000"/>
          <w:lang w:val="zh-CN"/>
        </w:rPr>
      </w:pPr>
      <w:r>
        <w:rPr>
          <w:rFonts w:hint="eastAsia" w:ascii="Times New Roman" w:hAnsi="Times New Roman"/>
          <w:color w:val="000000"/>
          <w:lang w:val="zh-CN"/>
        </w:rPr>
        <w:t>e）编写技术报告；</w:t>
      </w:r>
    </w:p>
    <w:p w14:paraId="09E316B1">
      <w:pPr>
        <w:ind w:firstLine="420" w:firstLineChars="200"/>
        <w:rPr>
          <w:rFonts w:ascii="Times New Roman" w:hAnsi="Times New Roman"/>
          <w:color w:val="000000"/>
          <w:lang w:val="zh-CN"/>
        </w:rPr>
      </w:pPr>
      <w:r>
        <w:rPr>
          <w:rFonts w:hint="eastAsia" w:ascii="Times New Roman" w:hAnsi="Times New Roman"/>
          <w:color w:val="000000"/>
          <w:lang w:val="zh-CN"/>
        </w:rPr>
        <w:t>f）征求意见，进行专家咨询和审查。</w:t>
      </w:r>
    </w:p>
    <w:bookmarkEnd w:id="42"/>
    <w:bookmarkEnd w:id="43"/>
    <w:p w14:paraId="67EA32C1">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44" w:name="_Toc172290858"/>
      <w:r>
        <w:rPr>
          <w:rFonts w:ascii="黑体" w:hAnsi="黑体" w:eastAsia="黑体"/>
          <w:b w:val="0"/>
          <w:bCs w:val="0"/>
          <w:color w:val="000000"/>
          <w:spacing w:val="4"/>
          <w:kern w:val="2"/>
          <w:sz w:val="21"/>
          <w:szCs w:val="21"/>
        </w:rPr>
        <w:t xml:space="preserve">5 </w:t>
      </w:r>
      <w:r>
        <w:rPr>
          <w:rFonts w:hint="eastAsia" w:ascii="黑体" w:hAnsi="黑体" w:eastAsia="黑体"/>
          <w:b w:val="0"/>
          <w:bCs w:val="0"/>
          <w:color w:val="000000"/>
          <w:spacing w:val="4"/>
          <w:kern w:val="2"/>
          <w:sz w:val="21"/>
          <w:szCs w:val="21"/>
        </w:rPr>
        <w:t>基本资料</w:t>
      </w:r>
      <w:bookmarkEnd w:id="44"/>
    </w:p>
    <w:p w14:paraId="1EAA07A2">
      <w:pPr>
        <w:rPr>
          <w:rFonts w:ascii="Times New Roman" w:hAnsi="Times New Roman"/>
          <w:color w:val="000000"/>
        </w:rPr>
      </w:pPr>
      <w:bookmarkStart w:id="45" w:name="_Hlk77345803"/>
      <w:r>
        <w:rPr>
          <w:rFonts w:ascii="黑体" w:hAnsi="黑体" w:eastAsia="黑体"/>
          <w:color w:val="000000"/>
        </w:rPr>
        <w:t>5.</w:t>
      </w:r>
      <w:r>
        <w:rPr>
          <w:rFonts w:hint="eastAsia" w:ascii="黑体" w:hAnsi="黑体" w:eastAsia="黑体"/>
          <w:color w:val="000000"/>
        </w:rPr>
        <w:t>1</w:t>
      </w:r>
      <w:r>
        <w:rPr>
          <w:rFonts w:ascii="黑体" w:hAnsi="黑体" w:eastAsia="黑体"/>
          <w:color w:val="000000"/>
        </w:rPr>
        <w:t xml:space="preserve"> </w:t>
      </w:r>
      <w:r>
        <w:rPr>
          <w:rFonts w:hint="eastAsia" w:ascii="Times New Roman" w:hAnsi="Times New Roman"/>
          <w:color w:val="000000"/>
        </w:rPr>
        <w:t>根据防汛</w:t>
      </w:r>
      <w:r>
        <w:rPr>
          <w:rFonts w:ascii="Times New Roman" w:hAnsi="Times New Roman"/>
          <w:color w:val="000000"/>
        </w:rPr>
        <w:t>抗旱特征水位核定需要</w:t>
      </w:r>
      <w:r>
        <w:rPr>
          <w:rFonts w:hint="eastAsia" w:ascii="Times New Roman" w:hAnsi="Times New Roman"/>
          <w:color w:val="000000"/>
        </w:rPr>
        <w:t>，</w:t>
      </w:r>
      <w:r>
        <w:rPr>
          <w:rFonts w:ascii="Times New Roman" w:hAnsi="Times New Roman"/>
          <w:color w:val="000000"/>
        </w:rPr>
        <w:t>应收集自然地理、水文</w:t>
      </w:r>
      <w:r>
        <w:rPr>
          <w:rFonts w:hint="eastAsia" w:ascii="Times New Roman" w:hAnsi="Times New Roman"/>
          <w:color w:val="000000"/>
        </w:rPr>
        <w:t>气象、工程状况、社会</w:t>
      </w:r>
      <w:r>
        <w:rPr>
          <w:rFonts w:ascii="Times New Roman" w:hAnsi="Times New Roman"/>
          <w:color w:val="000000"/>
        </w:rPr>
        <w:t>经济</w:t>
      </w:r>
      <w:r>
        <w:rPr>
          <w:rFonts w:hint="eastAsia" w:ascii="Times New Roman" w:hAnsi="Times New Roman"/>
          <w:color w:val="000000"/>
        </w:rPr>
        <w:t>、防汛</w:t>
      </w:r>
      <w:r>
        <w:rPr>
          <w:rFonts w:ascii="Times New Roman" w:hAnsi="Times New Roman"/>
          <w:color w:val="000000"/>
        </w:rPr>
        <w:t>抗旱</w:t>
      </w:r>
      <w:r>
        <w:rPr>
          <w:rFonts w:hint="eastAsia" w:ascii="Times New Roman" w:hAnsi="Times New Roman"/>
          <w:color w:val="000000"/>
        </w:rPr>
        <w:t>预案及工作制度、</w:t>
      </w:r>
      <w:r>
        <w:rPr>
          <w:rFonts w:ascii="Times New Roman" w:hAnsi="Times New Roman"/>
          <w:color w:val="000000"/>
        </w:rPr>
        <w:t>相关规划等资料</w:t>
      </w:r>
      <w:r>
        <w:rPr>
          <w:rFonts w:hint="eastAsia" w:ascii="Times New Roman" w:hAnsi="Times New Roman"/>
          <w:color w:val="000000"/>
        </w:rPr>
        <w:t>。基本</w:t>
      </w:r>
      <w:r>
        <w:rPr>
          <w:rFonts w:ascii="Times New Roman" w:hAnsi="Times New Roman"/>
          <w:color w:val="000000"/>
        </w:rPr>
        <w:t>资料</w:t>
      </w:r>
      <w:r>
        <w:rPr>
          <w:rFonts w:hint="eastAsia" w:ascii="Times New Roman" w:hAnsi="Times New Roman"/>
          <w:color w:val="000000"/>
        </w:rPr>
        <w:t>分类及内容见表1。</w:t>
      </w:r>
    </w:p>
    <w:p w14:paraId="7BF38C71">
      <w:pPr>
        <w:spacing w:before="156" w:beforeLines="50" w:after="156" w:afterLines="50"/>
        <w:jc w:val="center"/>
        <w:rPr>
          <w:rFonts w:hint="eastAsia" w:ascii="黑体" w:hAnsi="黑体" w:eastAsia="黑体"/>
          <w:color w:val="000000"/>
        </w:rPr>
      </w:pPr>
      <w:bookmarkStart w:id="46" w:name="_Hlk88308913"/>
      <w:r>
        <w:rPr>
          <w:rFonts w:hint="eastAsia" w:ascii="黑体" w:hAnsi="黑体" w:eastAsia="黑体"/>
          <w:color w:val="000000"/>
        </w:rPr>
        <w:t>表</w:t>
      </w:r>
      <w:r>
        <w:rPr>
          <w:rFonts w:ascii="黑体" w:hAnsi="黑体" w:eastAsia="黑体"/>
          <w:color w:val="000000"/>
        </w:rPr>
        <w:t xml:space="preserve">1 </w:t>
      </w:r>
      <w:r>
        <w:rPr>
          <w:rFonts w:hint="eastAsia" w:ascii="黑体" w:hAnsi="黑体" w:eastAsia="黑体"/>
          <w:color w:val="000000"/>
        </w:rPr>
        <w:t>基本资料分类及</w:t>
      </w:r>
      <w:r>
        <w:rPr>
          <w:rFonts w:ascii="黑体" w:hAnsi="黑体" w:eastAsia="黑体"/>
          <w:color w:val="000000"/>
        </w:rPr>
        <w:t>内容</w:t>
      </w:r>
    </w:p>
    <w:tbl>
      <w:tblPr>
        <w:tblStyle w:val="17"/>
        <w:tblW w:w="5000" w:type="pct"/>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884"/>
      </w:tblGrid>
      <w:tr w14:paraId="0FA91961">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tcBorders>
              <w:top w:val="single" w:color="auto" w:sz="8" w:space="0"/>
              <w:left w:val="single" w:color="auto" w:sz="8" w:space="0"/>
              <w:bottom w:val="single" w:color="auto" w:sz="8" w:space="0"/>
              <w:right w:val="single" w:color="auto" w:sz="4" w:space="0"/>
            </w:tcBorders>
            <w:vAlign w:val="center"/>
          </w:tcPr>
          <w:p w14:paraId="495FCCE7">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类别</w:t>
            </w:r>
          </w:p>
        </w:tc>
        <w:tc>
          <w:tcPr>
            <w:tcW w:w="4119" w:type="pct"/>
            <w:tcBorders>
              <w:top w:val="single" w:color="auto" w:sz="8" w:space="0"/>
              <w:left w:val="single" w:color="auto" w:sz="4" w:space="0"/>
              <w:bottom w:val="single" w:color="auto" w:sz="8" w:space="0"/>
              <w:right w:val="single" w:color="auto" w:sz="8" w:space="0"/>
            </w:tcBorders>
            <w:vAlign w:val="center"/>
          </w:tcPr>
          <w:p w14:paraId="7B448B83">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内容</w:t>
            </w:r>
          </w:p>
        </w:tc>
      </w:tr>
      <w:tr w14:paraId="0AE7737F">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tcBorders>
              <w:top w:val="single" w:color="auto" w:sz="8" w:space="0"/>
            </w:tcBorders>
            <w:vAlign w:val="center"/>
          </w:tcPr>
          <w:p w14:paraId="653F4A38">
            <w:pPr>
              <w:spacing w:line="240" w:lineRule="auto"/>
              <w:jc w:val="center"/>
              <w:rPr>
                <w:rFonts w:ascii="Times New Roman" w:hAnsi="Times New Roman"/>
                <w:color w:val="000000"/>
                <w:sz w:val="18"/>
                <w:szCs w:val="18"/>
              </w:rPr>
            </w:pPr>
            <w:r>
              <w:rPr>
                <w:rFonts w:ascii="Times New Roman" w:hAnsi="Times New Roman"/>
                <w:color w:val="000000"/>
                <w:sz w:val="18"/>
                <w:szCs w:val="18"/>
              </w:rPr>
              <w:t>自然地理</w:t>
            </w:r>
          </w:p>
        </w:tc>
        <w:tc>
          <w:tcPr>
            <w:tcW w:w="4119" w:type="pct"/>
            <w:tcBorders>
              <w:top w:val="single" w:color="auto" w:sz="8" w:space="0"/>
            </w:tcBorders>
            <w:vAlign w:val="center"/>
          </w:tcPr>
          <w:p w14:paraId="480F3816">
            <w:pPr>
              <w:spacing w:line="240" w:lineRule="auto"/>
              <w:rPr>
                <w:rFonts w:ascii="Times New Roman" w:hAnsi="Times New Roman"/>
                <w:color w:val="000000"/>
                <w:sz w:val="18"/>
                <w:szCs w:val="18"/>
              </w:rPr>
            </w:pPr>
            <w:r>
              <w:rPr>
                <w:rFonts w:hint="eastAsia" w:ascii="Times New Roman" w:hAnsi="Times New Roman"/>
                <w:color w:val="000000"/>
                <w:sz w:val="18"/>
                <w:szCs w:val="18"/>
              </w:rPr>
              <w:t>核定站点</w:t>
            </w:r>
            <w:r>
              <w:rPr>
                <w:rFonts w:ascii="Times New Roman" w:hAnsi="Times New Roman"/>
                <w:color w:val="000000"/>
                <w:sz w:val="18"/>
                <w:szCs w:val="18"/>
              </w:rPr>
              <w:t>所在</w:t>
            </w:r>
            <w:r>
              <w:rPr>
                <w:rFonts w:hint="eastAsia" w:ascii="Times New Roman" w:hAnsi="Times New Roman"/>
                <w:color w:val="000000"/>
                <w:sz w:val="18"/>
                <w:szCs w:val="18"/>
              </w:rPr>
              <w:t>流域、区域的地理位置、地形地貌、河湖水系、</w:t>
            </w:r>
            <w:r>
              <w:rPr>
                <w:rFonts w:ascii="Times New Roman" w:hAnsi="Times New Roman"/>
                <w:color w:val="000000"/>
                <w:sz w:val="18"/>
                <w:szCs w:val="18"/>
              </w:rPr>
              <w:t>水旱灾害情况等</w:t>
            </w:r>
            <w:r>
              <w:rPr>
                <w:rFonts w:hint="eastAsia" w:ascii="Times New Roman" w:hAnsi="Times New Roman"/>
                <w:color w:val="000000"/>
                <w:sz w:val="18"/>
                <w:szCs w:val="18"/>
              </w:rPr>
              <w:t>。</w:t>
            </w:r>
          </w:p>
        </w:tc>
      </w:tr>
      <w:tr w14:paraId="526CDCD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vAlign w:val="center"/>
          </w:tcPr>
          <w:p w14:paraId="6C4677E5">
            <w:pPr>
              <w:spacing w:line="240" w:lineRule="auto"/>
              <w:jc w:val="center"/>
              <w:rPr>
                <w:rFonts w:ascii="Times New Roman" w:hAnsi="Times New Roman"/>
                <w:color w:val="000000"/>
                <w:sz w:val="18"/>
                <w:szCs w:val="18"/>
              </w:rPr>
            </w:pPr>
            <w:r>
              <w:rPr>
                <w:rFonts w:ascii="Times New Roman" w:hAnsi="Times New Roman"/>
                <w:color w:val="000000"/>
                <w:sz w:val="18"/>
                <w:szCs w:val="18"/>
              </w:rPr>
              <w:t>水文</w:t>
            </w:r>
            <w:r>
              <w:rPr>
                <w:rFonts w:hint="eastAsia" w:ascii="Times New Roman" w:hAnsi="Times New Roman"/>
                <w:color w:val="000000"/>
                <w:sz w:val="18"/>
                <w:szCs w:val="18"/>
              </w:rPr>
              <w:t>气象</w:t>
            </w:r>
          </w:p>
        </w:tc>
        <w:tc>
          <w:tcPr>
            <w:tcW w:w="4119" w:type="pct"/>
            <w:vAlign w:val="center"/>
          </w:tcPr>
          <w:p w14:paraId="66728533">
            <w:pPr>
              <w:spacing w:line="240" w:lineRule="auto"/>
              <w:rPr>
                <w:rFonts w:ascii="Times New Roman" w:hAnsi="Times New Roman"/>
                <w:color w:val="000000"/>
                <w:sz w:val="18"/>
                <w:szCs w:val="18"/>
              </w:rPr>
            </w:pPr>
            <w:r>
              <w:rPr>
                <w:rFonts w:hint="eastAsia" w:ascii="Times New Roman" w:hAnsi="Times New Roman"/>
                <w:color w:val="000000"/>
                <w:sz w:val="18"/>
                <w:szCs w:val="18"/>
              </w:rPr>
              <w:t>核定</w:t>
            </w:r>
            <w:r>
              <w:rPr>
                <w:rFonts w:ascii="Times New Roman" w:hAnsi="Times New Roman"/>
                <w:color w:val="000000"/>
                <w:sz w:val="18"/>
                <w:szCs w:val="18"/>
              </w:rPr>
              <w:t>站点</w:t>
            </w:r>
            <w:r>
              <w:rPr>
                <w:rFonts w:hint="eastAsia" w:ascii="Times New Roman" w:hAnsi="Times New Roman"/>
                <w:color w:val="000000"/>
                <w:sz w:val="18"/>
                <w:szCs w:val="18"/>
              </w:rPr>
              <w:t>的</w:t>
            </w:r>
            <w:r>
              <w:rPr>
                <w:rFonts w:ascii="Times New Roman" w:hAnsi="Times New Roman"/>
                <w:color w:val="000000"/>
                <w:sz w:val="18"/>
                <w:szCs w:val="18"/>
              </w:rPr>
              <w:t>水位（</w:t>
            </w:r>
            <w:r>
              <w:rPr>
                <w:rFonts w:hint="eastAsia" w:ascii="Times New Roman" w:hAnsi="Times New Roman"/>
                <w:color w:val="000000"/>
                <w:sz w:val="18"/>
                <w:szCs w:val="18"/>
              </w:rPr>
              <w:t>潮位</w:t>
            </w:r>
            <w:r>
              <w:rPr>
                <w:rFonts w:ascii="Times New Roman" w:hAnsi="Times New Roman"/>
                <w:color w:val="000000"/>
                <w:sz w:val="18"/>
                <w:szCs w:val="18"/>
              </w:rPr>
              <w:t>）</w:t>
            </w:r>
            <w:r>
              <w:rPr>
                <w:rFonts w:hint="eastAsia" w:ascii="Times New Roman" w:hAnsi="Times New Roman"/>
                <w:color w:val="000000"/>
                <w:sz w:val="18"/>
                <w:szCs w:val="18"/>
              </w:rPr>
              <w:t>、</w:t>
            </w:r>
            <w:r>
              <w:rPr>
                <w:rFonts w:ascii="Times New Roman" w:hAnsi="Times New Roman"/>
                <w:color w:val="000000"/>
                <w:sz w:val="18"/>
                <w:szCs w:val="18"/>
              </w:rPr>
              <w:t>流量</w:t>
            </w:r>
            <w:r>
              <w:rPr>
                <w:rFonts w:hint="eastAsia" w:ascii="Times New Roman" w:hAnsi="Times New Roman"/>
                <w:color w:val="000000"/>
                <w:sz w:val="18"/>
                <w:szCs w:val="18"/>
              </w:rPr>
              <w:t>及其</w:t>
            </w:r>
            <w:r>
              <w:rPr>
                <w:rFonts w:ascii="Times New Roman" w:hAnsi="Times New Roman"/>
                <w:color w:val="000000"/>
                <w:sz w:val="18"/>
                <w:szCs w:val="18"/>
              </w:rPr>
              <w:t>所在流域</w:t>
            </w:r>
            <w:r>
              <w:rPr>
                <w:rFonts w:hint="eastAsia" w:ascii="Times New Roman" w:hAnsi="Times New Roman"/>
                <w:color w:val="000000"/>
                <w:sz w:val="18"/>
                <w:szCs w:val="18"/>
              </w:rPr>
              <w:t>、</w:t>
            </w:r>
            <w:r>
              <w:rPr>
                <w:rFonts w:ascii="Times New Roman" w:hAnsi="Times New Roman"/>
                <w:color w:val="000000"/>
                <w:sz w:val="18"/>
                <w:szCs w:val="18"/>
              </w:rPr>
              <w:t>区域</w:t>
            </w:r>
            <w:r>
              <w:rPr>
                <w:rFonts w:hint="eastAsia" w:ascii="Times New Roman" w:hAnsi="Times New Roman"/>
                <w:color w:val="000000"/>
                <w:sz w:val="18"/>
                <w:szCs w:val="18"/>
              </w:rPr>
              <w:t>的</w:t>
            </w:r>
            <w:r>
              <w:rPr>
                <w:rFonts w:ascii="Times New Roman" w:hAnsi="Times New Roman"/>
                <w:color w:val="000000"/>
                <w:sz w:val="18"/>
                <w:szCs w:val="18"/>
              </w:rPr>
              <w:t>降雨、</w:t>
            </w:r>
            <w:r>
              <w:rPr>
                <w:rFonts w:hint="eastAsia" w:ascii="Times New Roman" w:hAnsi="Times New Roman"/>
                <w:color w:val="000000"/>
                <w:sz w:val="18"/>
                <w:szCs w:val="18"/>
              </w:rPr>
              <w:t>蒸发等，</w:t>
            </w:r>
            <w:r>
              <w:rPr>
                <w:rFonts w:ascii="Times New Roman" w:hAnsi="Times New Roman"/>
                <w:color w:val="000000"/>
                <w:sz w:val="18"/>
                <w:szCs w:val="18"/>
              </w:rPr>
              <w:t>历史暴雨洪水</w:t>
            </w:r>
            <w:r>
              <w:rPr>
                <w:rFonts w:hint="eastAsia" w:ascii="Times New Roman" w:hAnsi="Times New Roman"/>
                <w:color w:val="000000"/>
                <w:sz w:val="18"/>
                <w:szCs w:val="18"/>
              </w:rPr>
              <w:t>、</w:t>
            </w:r>
            <w:r>
              <w:rPr>
                <w:rFonts w:ascii="Times New Roman" w:hAnsi="Times New Roman"/>
                <w:color w:val="000000"/>
                <w:sz w:val="18"/>
                <w:szCs w:val="18"/>
              </w:rPr>
              <w:t>天文大潮、风暴潮</w:t>
            </w:r>
            <w:r>
              <w:rPr>
                <w:rFonts w:hint="eastAsia" w:ascii="Times New Roman" w:hAnsi="Times New Roman"/>
                <w:color w:val="000000"/>
                <w:sz w:val="18"/>
                <w:szCs w:val="18"/>
              </w:rPr>
              <w:t>、</w:t>
            </w:r>
            <w:r>
              <w:rPr>
                <w:rFonts w:ascii="Times New Roman" w:hAnsi="Times New Roman"/>
                <w:color w:val="000000"/>
                <w:sz w:val="18"/>
                <w:szCs w:val="18"/>
              </w:rPr>
              <w:t>台风</w:t>
            </w:r>
            <w:r>
              <w:rPr>
                <w:rFonts w:hint="eastAsia" w:ascii="Times New Roman" w:hAnsi="Times New Roman"/>
                <w:color w:val="000000"/>
                <w:sz w:val="18"/>
                <w:szCs w:val="18"/>
              </w:rPr>
              <w:t>，典型干旱年雨水情等。</w:t>
            </w:r>
          </w:p>
        </w:tc>
      </w:tr>
      <w:tr w14:paraId="18711CF0">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vAlign w:val="center"/>
          </w:tcPr>
          <w:p w14:paraId="3561838B">
            <w:pPr>
              <w:spacing w:line="240" w:lineRule="auto"/>
              <w:jc w:val="center"/>
              <w:rPr>
                <w:rFonts w:ascii="Times New Roman" w:hAnsi="Times New Roman"/>
                <w:color w:val="000000"/>
                <w:sz w:val="18"/>
                <w:szCs w:val="18"/>
              </w:rPr>
            </w:pPr>
            <w:r>
              <w:rPr>
                <w:rFonts w:ascii="Times New Roman" w:hAnsi="Times New Roman"/>
                <w:color w:val="000000"/>
                <w:sz w:val="18"/>
                <w:szCs w:val="18"/>
              </w:rPr>
              <w:t>工程</w:t>
            </w:r>
            <w:r>
              <w:rPr>
                <w:rFonts w:hint="eastAsia" w:ascii="Times New Roman" w:hAnsi="Times New Roman"/>
                <w:color w:val="000000"/>
                <w:sz w:val="18"/>
                <w:szCs w:val="18"/>
              </w:rPr>
              <w:t>状况</w:t>
            </w:r>
          </w:p>
        </w:tc>
        <w:tc>
          <w:tcPr>
            <w:tcW w:w="4119" w:type="pct"/>
            <w:vAlign w:val="center"/>
          </w:tcPr>
          <w:p w14:paraId="790037FF">
            <w:pPr>
              <w:spacing w:line="240" w:lineRule="auto"/>
              <w:rPr>
                <w:rFonts w:ascii="Times New Roman" w:hAnsi="Times New Roman"/>
                <w:color w:val="000000"/>
                <w:sz w:val="18"/>
                <w:szCs w:val="18"/>
              </w:rPr>
            </w:pPr>
            <w:r>
              <w:rPr>
                <w:rFonts w:hint="eastAsia" w:ascii="Times New Roman" w:hAnsi="Times New Roman"/>
                <w:color w:val="000000"/>
                <w:sz w:val="18"/>
                <w:szCs w:val="18"/>
              </w:rPr>
              <w:t>核定站点所在流域、区域的防洪、供水工程现状及能力、</w:t>
            </w:r>
            <w:r>
              <w:rPr>
                <w:rFonts w:ascii="Times New Roman" w:hAnsi="Times New Roman"/>
                <w:color w:val="000000"/>
                <w:sz w:val="18"/>
                <w:szCs w:val="18"/>
              </w:rPr>
              <w:t>堤防的险工</w:t>
            </w:r>
            <w:r>
              <w:rPr>
                <w:rFonts w:hint="eastAsia" w:ascii="Times New Roman" w:hAnsi="Times New Roman"/>
                <w:color w:val="000000"/>
                <w:sz w:val="18"/>
                <w:szCs w:val="18"/>
              </w:rPr>
              <w:t>患段</w:t>
            </w:r>
            <w:r>
              <w:rPr>
                <w:rFonts w:ascii="Times New Roman" w:hAnsi="Times New Roman"/>
                <w:color w:val="000000"/>
                <w:sz w:val="18"/>
                <w:szCs w:val="18"/>
              </w:rPr>
              <w:t>等薄弱环节</w:t>
            </w:r>
            <w:r>
              <w:rPr>
                <w:rFonts w:hint="eastAsia" w:ascii="Times New Roman" w:hAnsi="Times New Roman"/>
                <w:color w:val="000000"/>
                <w:sz w:val="18"/>
                <w:szCs w:val="18"/>
              </w:rPr>
              <w:t>、</w:t>
            </w:r>
            <w:r>
              <w:rPr>
                <w:rFonts w:ascii="Times New Roman" w:hAnsi="Times New Roman"/>
                <w:color w:val="000000"/>
                <w:sz w:val="18"/>
                <w:szCs w:val="18"/>
              </w:rPr>
              <w:t>历史出险情况</w:t>
            </w:r>
            <w:r>
              <w:rPr>
                <w:rFonts w:hint="eastAsia" w:ascii="Times New Roman" w:hAnsi="Times New Roman"/>
                <w:color w:val="000000"/>
                <w:sz w:val="18"/>
                <w:szCs w:val="18"/>
              </w:rPr>
              <w:t>等</w:t>
            </w:r>
            <w:r>
              <w:rPr>
                <w:rFonts w:ascii="Times New Roman" w:hAnsi="Times New Roman"/>
                <w:color w:val="000000"/>
                <w:sz w:val="18"/>
                <w:szCs w:val="18"/>
              </w:rPr>
              <w:t>。</w:t>
            </w:r>
          </w:p>
        </w:tc>
      </w:tr>
      <w:tr w14:paraId="4F5CC43A">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vAlign w:val="center"/>
          </w:tcPr>
          <w:p w14:paraId="466FDADC">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社会</w:t>
            </w:r>
            <w:r>
              <w:rPr>
                <w:rFonts w:ascii="Times New Roman" w:hAnsi="Times New Roman"/>
                <w:color w:val="000000"/>
                <w:sz w:val="18"/>
                <w:szCs w:val="18"/>
              </w:rPr>
              <w:t>经济</w:t>
            </w:r>
          </w:p>
        </w:tc>
        <w:tc>
          <w:tcPr>
            <w:tcW w:w="4119" w:type="pct"/>
            <w:vAlign w:val="center"/>
          </w:tcPr>
          <w:p w14:paraId="4C2C0230">
            <w:pPr>
              <w:spacing w:line="240" w:lineRule="auto"/>
              <w:rPr>
                <w:rFonts w:ascii="Times New Roman" w:hAnsi="Times New Roman"/>
                <w:color w:val="000000"/>
                <w:sz w:val="18"/>
                <w:szCs w:val="18"/>
              </w:rPr>
            </w:pPr>
            <w:r>
              <w:rPr>
                <w:rFonts w:hint="eastAsia" w:ascii="Times New Roman" w:hAnsi="Times New Roman"/>
                <w:color w:val="000000"/>
                <w:sz w:val="18"/>
                <w:szCs w:val="18"/>
              </w:rPr>
              <w:t>核定站点所在</w:t>
            </w:r>
            <w:r>
              <w:rPr>
                <w:rFonts w:ascii="Times New Roman" w:hAnsi="Times New Roman"/>
                <w:color w:val="000000"/>
                <w:sz w:val="18"/>
                <w:szCs w:val="18"/>
              </w:rPr>
              <w:t>地区</w:t>
            </w:r>
            <w:r>
              <w:rPr>
                <w:rFonts w:hint="eastAsia" w:ascii="Times New Roman" w:hAnsi="Times New Roman"/>
                <w:color w:val="000000"/>
                <w:sz w:val="18"/>
                <w:szCs w:val="18"/>
              </w:rPr>
              <w:t>社会</w:t>
            </w:r>
            <w:r>
              <w:rPr>
                <w:rFonts w:ascii="Times New Roman" w:hAnsi="Times New Roman"/>
                <w:color w:val="000000"/>
                <w:sz w:val="18"/>
                <w:szCs w:val="18"/>
              </w:rPr>
              <w:t>经济现状</w:t>
            </w:r>
            <w:r>
              <w:rPr>
                <w:rFonts w:hint="eastAsia" w:ascii="Times New Roman" w:hAnsi="Times New Roman"/>
                <w:color w:val="000000"/>
                <w:sz w:val="18"/>
                <w:szCs w:val="18"/>
              </w:rPr>
              <w:t>，社会</w:t>
            </w:r>
            <w:r>
              <w:rPr>
                <w:rFonts w:ascii="Times New Roman" w:hAnsi="Times New Roman"/>
                <w:color w:val="000000"/>
                <w:sz w:val="18"/>
                <w:szCs w:val="18"/>
              </w:rPr>
              <w:t>经济发展对防汛抗旱的</w:t>
            </w:r>
            <w:r>
              <w:rPr>
                <w:rFonts w:hint="eastAsia" w:ascii="Times New Roman" w:hAnsi="Times New Roman"/>
                <w:color w:val="000000"/>
                <w:sz w:val="18"/>
                <w:szCs w:val="18"/>
              </w:rPr>
              <w:t>需求等。</w:t>
            </w:r>
          </w:p>
        </w:tc>
      </w:tr>
      <w:tr w14:paraId="1C752B27">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vAlign w:val="center"/>
          </w:tcPr>
          <w:p w14:paraId="34E0C847">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防汛</w:t>
            </w:r>
            <w:r>
              <w:rPr>
                <w:rFonts w:ascii="Times New Roman" w:hAnsi="Times New Roman"/>
                <w:color w:val="000000"/>
                <w:sz w:val="18"/>
                <w:szCs w:val="18"/>
              </w:rPr>
              <w:t>抗旱</w:t>
            </w:r>
            <w:r>
              <w:rPr>
                <w:rFonts w:hint="eastAsia" w:ascii="Times New Roman" w:hAnsi="Times New Roman"/>
                <w:color w:val="000000"/>
                <w:sz w:val="18"/>
                <w:szCs w:val="18"/>
              </w:rPr>
              <w:t>预案及工作制度</w:t>
            </w:r>
          </w:p>
        </w:tc>
        <w:tc>
          <w:tcPr>
            <w:tcW w:w="4119" w:type="pct"/>
            <w:vAlign w:val="center"/>
          </w:tcPr>
          <w:p w14:paraId="2E701227">
            <w:pPr>
              <w:spacing w:line="240" w:lineRule="auto"/>
              <w:rPr>
                <w:rFonts w:ascii="Times New Roman" w:hAnsi="Times New Roman"/>
                <w:color w:val="000000"/>
                <w:sz w:val="18"/>
                <w:szCs w:val="18"/>
              </w:rPr>
            </w:pPr>
            <w:r>
              <w:rPr>
                <w:rFonts w:ascii="Times New Roman" w:hAnsi="Times New Roman"/>
                <w:color w:val="000000"/>
                <w:sz w:val="18"/>
                <w:szCs w:val="18"/>
              </w:rPr>
              <w:t>防汛</w:t>
            </w:r>
            <w:r>
              <w:rPr>
                <w:rFonts w:hint="eastAsia" w:ascii="Times New Roman" w:hAnsi="Times New Roman"/>
                <w:color w:val="000000"/>
                <w:sz w:val="18"/>
                <w:szCs w:val="18"/>
              </w:rPr>
              <w:t>抗旱</w:t>
            </w:r>
            <w:r>
              <w:rPr>
                <w:rFonts w:ascii="Times New Roman" w:hAnsi="Times New Roman"/>
                <w:color w:val="000000"/>
                <w:sz w:val="18"/>
                <w:szCs w:val="18"/>
              </w:rPr>
              <w:t>应急预案、防御洪水方案</w:t>
            </w:r>
            <w:r>
              <w:rPr>
                <w:rFonts w:hint="eastAsia" w:ascii="Times New Roman" w:hAnsi="Times New Roman"/>
                <w:color w:val="000000"/>
                <w:sz w:val="18"/>
                <w:szCs w:val="18"/>
              </w:rPr>
              <w:t>、</w:t>
            </w:r>
            <w:r>
              <w:rPr>
                <w:rFonts w:ascii="Times New Roman" w:hAnsi="Times New Roman"/>
                <w:color w:val="000000"/>
                <w:sz w:val="18"/>
                <w:szCs w:val="18"/>
              </w:rPr>
              <w:t>超标准洪水防御预案</w:t>
            </w:r>
            <w:r>
              <w:rPr>
                <w:rFonts w:hint="eastAsia" w:ascii="Times New Roman" w:hAnsi="Times New Roman"/>
                <w:color w:val="000000"/>
                <w:sz w:val="18"/>
                <w:szCs w:val="18"/>
              </w:rPr>
              <w:t>、水工程</w:t>
            </w:r>
            <w:r>
              <w:rPr>
                <w:rFonts w:ascii="Times New Roman" w:hAnsi="Times New Roman"/>
                <w:color w:val="000000"/>
                <w:sz w:val="18"/>
                <w:szCs w:val="18"/>
              </w:rPr>
              <w:t>调度方案</w:t>
            </w:r>
            <w:r>
              <w:rPr>
                <w:rFonts w:hint="eastAsia" w:ascii="Times New Roman" w:hAnsi="Times New Roman"/>
                <w:color w:val="000000"/>
                <w:sz w:val="18"/>
                <w:szCs w:val="18"/>
              </w:rPr>
              <w:t>，防汛抗旱工作制度，预警发布管理办法等。</w:t>
            </w:r>
          </w:p>
        </w:tc>
      </w:tr>
      <w:tr w14:paraId="22EC7A05">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1" w:type="pct"/>
            <w:vAlign w:val="center"/>
          </w:tcPr>
          <w:p w14:paraId="5605277F">
            <w:pPr>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规划及特征水位</w:t>
            </w:r>
          </w:p>
        </w:tc>
        <w:tc>
          <w:tcPr>
            <w:tcW w:w="4119" w:type="pct"/>
            <w:vAlign w:val="center"/>
          </w:tcPr>
          <w:p w14:paraId="1EC9130C">
            <w:pPr>
              <w:spacing w:line="240" w:lineRule="auto"/>
              <w:rPr>
                <w:rFonts w:ascii="Times New Roman" w:hAnsi="Times New Roman"/>
                <w:color w:val="000000"/>
                <w:sz w:val="18"/>
                <w:szCs w:val="18"/>
              </w:rPr>
            </w:pPr>
            <w:r>
              <w:rPr>
                <w:rFonts w:hint="eastAsia" w:ascii="Times New Roman" w:hAnsi="Times New Roman"/>
                <w:color w:val="000000"/>
                <w:sz w:val="18"/>
                <w:szCs w:val="18"/>
              </w:rPr>
              <w:t>防洪</w:t>
            </w:r>
            <w:r>
              <w:rPr>
                <w:rFonts w:ascii="Times New Roman" w:hAnsi="Times New Roman"/>
                <w:color w:val="000000"/>
                <w:sz w:val="18"/>
                <w:szCs w:val="18"/>
              </w:rPr>
              <w:t>规划</w:t>
            </w:r>
            <w:r>
              <w:rPr>
                <w:rFonts w:hint="eastAsia" w:ascii="Times New Roman" w:hAnsi="Times New Roman"/>
                <w:color w:val="000000"/>
                <w:sz w:val="18"/>
                <w:szCs w:val="18"/>
              </w:rPr>
              <w:t>、抗旱规划、水资源综合规划、专业规划等，现行防汛</w:t>
            </w:r>
            <w:r>
              <w:rPr>
                <w:rFonts w:ascii="Times New Roman" w:hAnsi="Times New Roman"/>
                <w:color w:val="000000"/>
                <w:sz w:val="18"/>
                <w:szCs w:val="18"/>
              </w:rPr>
              <w:t>抗旱特征水位</w:t>
            </w:r>
            <w:r>
              <w:rPr>
                <w:rFonts w:hint="eastAsia" w:ascii="Times New Roman" w:hAnsi="Times New Roman"/>
                <w:color w:val="000000"/>
                <w:sz w:val="18"/>
                <w:szCs w:val="18"/>
              </w:rPr>
              <w:t>、相关河湖生态水位、通航水位等。</w:t>
            </w:r>
          </w:p>
        </w:tc>
      </w:tr>
      <w:bookmarkEnd w:id="46"/>
    </w:tbl>
    <w:p w14:paraId="6511D04E">
      <w:pPr>
        <w:rPr>
          <w:rFonts w:ascii="Times New Roman" w:hAnsi="Times New Roman"/>
          <w:color w:val="000000"/>
        </w:rPr>
      </w:pPr>
      <w:r>
        <w:rPr>
          <w:rFonts w:ascii="黑体" w:hAnsi="黑体" w:eastAsia="黑体"/>
          <w:color w:val="000000"/>
        </w:rPr>
        <w:t>5.</w:t>
      </w:r>
      <w:r>
        <w:rPr>
          <w:rFonts w:hint="eastAsia" w:ascii="黑体" w:hAnsi="黑体" w:eastAsia="黑体"/>
          <w:color w:val="000000"/>
        </w:rPr>
        <w:t>2</w:t>
      </w:r>
      <w:r>
        <w:rPr>
          <w:rFonts w:ascii="黑体" w:hAnsi="黑体" w:eastAsia="黑体"/>
          <w:color w:val="000000"/>
        </w:rPr>
        <w:t xml:space="preserve"> </w:t>
      </w:r>
      <w:r>
        <w:rPr>
          <w:rFonts w:ascii="Times New Roman" w:hAnsi="Times New Roman"/>
          <w:color w:val="000000"/>
        </w:rPr>
        <w:t>收集的基本资料</w:t>
      </w:r>
      <w:r>
        <w:rPr>
          <w:rFonts w:hint="eastAsia" w:ascii="Times New Roman" w:hAnsi="Times New Roman"/>
          <w:color w:val="000000"/>
        </w:rPr>
        <w:t>应</w:t>
      </w:r>
      <w:r>
        <w:rPr>
          <w:rFonts w:ascii="Times New Roman" w:hAnsi="Times New Roman"/>
          <w:color w:val="000000"/>
        </w:rPr>
        <w:t>进行</w:t>
      </w:r>
      <w:r>
        <w:rPr>
          <w:rFonts w:hint="eastAsia" w:ascii="Times New Roman" w:hAnsi="Times New Roman"/>
          <w:color w:val="000000"/>
        </w:rPr>
        <w:t>复核，评价</w:t>
      </w:r>
      <w:r>
        <w:rPr>
          <w:rFonts w:ascii="Times New Roman" w:hAnsi="Times New Roman"/>
          <w:color w:val="000000"/>
        </w:rPr>
        <w:t>其合理性和可靠</w:t>
      </w:r>
      <w:r>
        <w:rPr>
          <w:rFonts w:hint="eastAsia" w:ascii="Times New Roman" w:hAnsi="Times New Roman"/>
          <w:color w:val="000000"/>
        </w:rPr>
        <w:t>性，</w:t>
      </w:r>
      <w:r>
        <w:rPr>
          <w:rFonts w:ascii="Times New Roman" w:hAnsi="Times New Roman"/>
          <w:color w:val="000000"/>
        </w:rPr>
        <w:t>对</w:t>
      </w:r>
      <w:r>
        <w:rPr>
          <w:rFonts w:hint="eastAsia" w:ascii="Times New Roman" w:hAnsi="Times New Roman"/>
          <w:color w:val="000000"/>
        </w:rPr>
        <w:t>有</w:t>
      </w:r>
      <w:r>
        <w:rPr>
          <w:rFonts w:ascii="Times New Roman" w:hAnsi="Times New Roman"/>
          <w:color w:val="000000"/>
        </w:rPr>
        <w:t>明显错误或存在系统</w:t>
      </w:r>
      <w:r>
        <w:rPr>
          <w:rFonts w:hint="eastAsia" w:ascii="Times New Roman" w:hAnsi="Times New Roman"/>
          <w:color w:val="000000"/>
        </w:rPr>
        <w:t>偏差</w:t>
      </w:r>
      <w:r>
        <w:rPr>
          <w:rFonts w:ascii="Times New Roman" w:hAnsi="Times New Roman"/>
          <w:color w:val="000000"/>
        </w:rPr>
        <w:t>的资料</w:t>
      </w:r>
      <w:r>
        <w:rPr>
          <w:rFonts w:hint="eastAsia" w:ascii="Times New Roman" w:hAnsi="Times New Roman"/>
          <w:color w:val="000000"/>
        </w:rPr>
        <w:t>，</w:t>
      </w:r>
      <w:r>
        <w:rPr>
          <w:rFonts w:ascii="Times New Roman" w:hAnsi="Times New Roman"/>
          <w:color w:val="000000"/>
        </w:rPr>
        <w:t>应</w:t>
      </w:r>
      <w:r>
        <w:rPr>
          <w:rFonts w:hint="eastAsia" w:ascii="Times New Roman" w:hAnsi="Times New Roman"/>
          <w:color w:val="000000"/>
        </w:rPr>
        <w:t>予</w:t>
      </w:r>
      <w:r>
        <w:rPr>
          <w:rFonts w:ascii="Times New Roman" w:hAnsi="Times New Roman"/>
          <w:color w:val="000000"/>
        </w:rPr>
        <w:t>改正</w:t>
      </w:r>
      <w:r>
        <w:rPr>
          <w:rFonts w:hint="eastAsia" w:ascii="Times New Roman" w:hAnsi="Times New Roman"/>
          <w:color w:val="000000"/>
        </w:rPr>
        <w:t>。选取的水文资料应进行可靠性、一致性、代表性分析。</w:t>
      </w:r>
    </w:p>
    <w:p w14:paraId="77712CE7">
      <w:pPr>
        <w:rPr>
          <w:rFonts w:ascii="Times New Roman" w:hAnsi="Times New Roman"/>
          <w:color w:val="000000"/>
        </w:rPr>
      </w:pPr>
      <w:r>
        <w:rPr>
          <w:rFonts w:ascii="黑体" w:hAnsi="黑体" w:eastAsia="黑体"/>
          <w:color w:val="000000"/>
        </w:rPr>
        <w:t>5.3</w:t>
      </w:r>
      <w:r>
        <w:rPr>
          <w:rFonts w:ascii="Times New Roman" w:hAnsi="Times New Roman"/>
          <w:color w:val="000000"/>
        </w:rPr>
        <w:t xml:space="preserve"> </w:t>
      </w:r>
      <w:r>
        <w:rPr>
          <w:rFonts w:hint="eastAsia" w:ascii="Times New Roman" w:hAnsi="Times New Roman"/>
          <w:color w:val="000000"/>
        </w:rPr>
        <w:t>防汛抗旱特征水位核定宜选取核定站点不少于</w:t>
      </w:r>
      <w:r>
        <w:rPr>
          <w:rFonts w:ascii="Times New Roman" w:hAnsi="Times New Roman"/>
          <w:color w:val="000000"/>
        </w:rPr>
        <w:t>30</w:t>
      </w:r>
      <w:r>
        <w:rPr>
          <w:rFonts w:hint="eastAsia" w:ascii="Times New Roman" w:hAnsi="Times New Roman"/>
          <w:color w:val="000000"/>
        </w:rPr>
        <w:t>年的水文资料系列。系列长度不足3</w:t>
      </w:r>
      <w:r>
        <w:rPr>
          <w:rFonts w:ascii="Times New Roman" w:hAnsi="Times New Roman"/>
          <w:color w:val="000000"/>
        </w:rPr>
        <w:t>0</w:t>
      </w:r>
      <w:r>
        <w:rPr>
          <w:rFonts w:hint="eastAsia" w:ascii="Times New Roman" w:hAnsi="Times New Roman"/>
          <w:color w:val="000000"/>
        </w:rPr>
        <w:t>年时，可采用具有</w:t>
      </w:r>
      <w:r>
        <w:rPr>
          <w:rFonts w:ascii="Times New Roman" w:hAnsi="Times New Roman"/>
          <w:color w:val="000000"/>
        </w:rPr>
        <w:t>30</w:t>
      </w:r>
      <w:r>
        <w:rPr>
          <w:rFonts w:hint="eastAsia" w:ascii="Times New Roman" w:hAnsi="Times New Roman"/>
          <w:color w:val="000000"/>
        </w:rPr>
        <w:t>年以上资料系列、与核定站点相关性较好的邻近站点水文资料，根据站点水位相关关系插补延长进行分析。</w:t>
      </w:r>
    </w:p>
    <w:p w14:paraId="4BD4A1B0">
      <w:pPr>
        <w:rPr>
          <w:rFonts w:hint="eastAsia" w:ascii="宋体" w:hAnsi="宋体"/>
          <w:color w:val="000000"/>
        </w:rPr>
      </w:pPr>
      <w:r>
        <w:rPr>
          <w:rFonts w:ascii="黑体" w:hAnsi="黑体" w:eastAsia="黑体"/>
          <w:color w:val="000000"/>
          <w:lang w:val="zh-CN"/>
        </w:rPr>
        <w:t xml:space="preserve">5.4 </w:t>
      </w:r>
      <w:r>
        <w:rPr>
          <w:rFonts w:hint="eastAsia" w:ascii="宋体" w:hAnsi="宋体"/>
          <w:color w:val="000000"/>
          <w:lang w:val="zh-CN"/>
        </w:rPr>
        <w:t>对</w:t>
      </w:r>
      <w:r>
        <w:rPr>
          <w:rFonts w:hint="eastAsia" w:ascii="宋体" w:hAnsi="宋体"/>
          <w:color w:val="000000"/>
        </w:rPr>
        <w:t>水位</w:t>
      </w:r>
      <w:r>
        <w:rPr>
          <w:rFonts w:ascii="宋体" w:hAnsi="宋体"/>
          <w:color w:val="000000"/>
        </w:rPr>
        <w:t>（</w:t>
      </w:r>
      <w:r>
        <w:rPr>
          <w:rFonts w:hint="eastAsia" w:ascii="宋体" w:hAnsi="宋体"/>
          <w:color w:val="000000"/>
        </w:rPr>
        <w:t>潮位</w:t>
      </w:r>
      <w:r>
        <w:rPr>
          <w:rFonts w:ascii="宋体" w:hAnsi="宋体"/>
          <w:color w:val="000000"/>
        </w:rPr>
        <w:t>）</w:t>
      </w:r>
      <w:r>
        <w:rPr>
          <w:rFonts w:hint="eastAsia" w:ascii="宋体" w:hAnsi="宋体"/>
          <w:color w:val="000000"/>
        </w:rPr>
        <w:t>资料，</w:t>
      </w:r>
      <w:r>
        <w:rPr>
          <w:rFonts w:ascii="宋体" w:hAnsi="宋体"/>
          <w:color w:val="000000"/>
        </w:rPr>
        <w:t>应</w:t>
      </w:r>
      <w:r>
        <w:rPr>
          <w:rFonts w:hint="eastAsia" w:ascii="宋体" w:hAnsi="宋体"/>
          <w:color w:val="000000"/>
        </w:rPr>
        <w:t>根据</w:t>
      </w:r>
      <w:r>
        <w:rPr>
          <w:rFonts w:ascii="宋体" w:hAnsi="宋体"/>
          <w:color w:val="000000"/>
        </w:rPr>
        <w:t>高程系统、</w:t>
      </w:r>
      <w:r>
        <w:rPr>
          <w:rFonts w:hint="eastAsia" w:ascii="宋体" w:hAnsi="宋体"/>
          <w:color w:val="000000"/>
        </w:rPr>
        <w:t>水尺零点、</w:t>
      </w:r>
      <w:r>
        <w:rPr>
          <w:rFonts w:ascii="宋体" w:hAnsi="宋体"/>
          <w:color w:val="000000"/>
        </w:rPr>
        <w:t>测站地面沉降情况</w:t>
      </w:r>
      <w:r>
        <w:rPr>
          <w:rFonts w:hint="eastAsia" w:ascii="宋体" w:hAnsi="宋体"/>
          <w:color w:val="000000"/>
        </w:rPr>
        <w:t>，</w:t>
      </w:r>
      <w:r>
        <w:rPr>
          <w:rFonts w:ascii="宋体" w:hAnsi="宋体"/>
          <w:color w:val="000000"/>
        </w:rPr>
        <w:t>对水位（</w:t>
      </w:r>
      <w:r>
        <w:rPr>
          <w:rFonts w:hint="eastAsia" w:ascii="宋体" w:hAnsi="宋体"/>
          <w:color w:val="000000"/>
        </w:rPr>
        <w:t>潮位</w:t>
      </w:r>
      <w:r>
        <w:rPr>
          <w:rFonts w:ascii="宋体" w:hAnsi="宋体"/>
          <w:color w:val="000000"/>
        </w:rPr>
        <w:t>）</w:t>
      </w:r>
      <w:r>
        <w:rPr>
          <w:rFonts w:hint="eastAsia" w:ascii="宋体" w:hAnsi="宋体"/>
          <w:color w:val="000000"/>
        </w:rPr>
        <w:t>进行基面</w:t>
      </w:r>
      <w:r>
        <w:rPr>
          <w:rFonts w:ascii="宋体" w:hAnsi="宋体"/>
          <w:color w:val="000000"/>
        </w:rPr>
        <w:t>和沉降修正</w:t>
      </w:r>
      <w:r>
        <w:rPr>
          <w:rFonts w:hint="eastAsia" w:ascii="宋体" w:hAnsi="宋体"/>
          <w:color w:val="000000"/>
        </w:rPr>
        <w:t>。</w:t>
      </w:r>
    </w:p>
    <w:p w14:paraId="374BBBDF">
      <w:pPr>
        <w:rPr>
          <w:rFonts w:ascii="Times New Roman" w:hAnsi="Times New Roman"/>
          <w:color w:val="000000"/>
        </w:rPr>
      </w:pPr>
      <w:r>
        <w:rPr>
          <w:rFonts w:ascii="黑体" w:hAnsi="黑体" w:eastAsia="黑体"/>
          <w:color w:val="000000"/>
        </w:rPr>
        <w:t>5.5</w:t>
      </w:r>
      <w:r>
        <w:rPr>
          <w:rFonts w:ascii="Times New Roman" w:hAnsi="Times New Roman"/>
          <w:color w:val="000000"/>
        </w:rPr>
        <w:t xml:space="preserve"> 水文</w:t>
      </w:r>
      <w:r>
        <w:rPr>
          <w:rFonts w:hint="eastAsia" w:ascii="Times New Roman" w:hAnsi="Times New Roman"/>
          <w:color w:val="000000"/>
        </w:rPr>
        <w:t>资料还应符合S</w:t>
      </w:r>
      <w:r>
        <w:rPr>
          <w:rFonts w:ascii="Times New Roman" w:hAnsi="Times New Roman"/>
          <w:color w:val="000000"/>
        </w:rPr>
        <w:t xml:space="preserve">L </w:t>
      </w:r>
      <w:r>
        <w:rPr>
          <w:rFonts w:hint="eastAsia" w:ascii="Times New Roman" w:hAnsi="Times New Roman"/>
          <w:color w:val="000000"/>
        </w:rPr>
        <w:t>44、SL/T 247、SL</w:t>
      </w:r>
      <w:r>
        <w:rPr>
          <w:rFonts w:ascii="Times New Roman" w:hAnsi="Times New Roman"/>
          <w:color w:val="000000"/>
        </w:rPr>
        <w:t xml:space="preserve"> 278</w:t>
      </w:r>
      <w:r>
        <w:rPr>
          <w:rFonts w:hint="eastAsia" w:ascii="Times New Roman" w:hAnsi="Times New Roman"/>
          <w:color w:val="000000"/>
        </w:rPr>
        <w:t>的相关规定。</w:t>
      </w:r>
    </w:p>
    <w:bookmarkEnd w:id="45"/>
    <w:p w14:paraId="6F73392B">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47" w:name="_Toc172290859"/>
      <w:r>
        <w:rPr>
          <w:rFonts w:ascii="黑体" w:hAnsi="黑体" w:eastAsia="黑体"/>
          <w:b w:val="0"/>
          <w:bCs w:val="0"/>
          <w:color w:val="000000"/>
          <w:spacing w:val="4"/>
          <w:kern w:val="2"/>
          <w:sz w:val="21"/>
          <w:szCs w:val="21"/>
        </w:rPr>
        <w:t xml:space="preserve">6 </w:t>
      </w:r>
      <w:r>
        <w:rPr>
          <w:rFonts w:hint="eastAsia" w:ascii="黑体" w:hAnsi="黑体" w:eastAsia="黑体"/>
          <w:b w:val="0"/>
          <w:bCs w:val="0"/>
          <w:color w:val="000000"/>
          <w:spacing w:val="4"/>
          <w:kern w:val="2"/>
          <w:sz w:val="21"/>
          <w:szCs w:val="21"/>
        </w:rPr>
        <w:t>警戒水位核定</w:t>
      </w:r>
      <w:bookmarkEnd w:id="47"/>
    </w:p>
    <w:p w14:paraId="32651AB0">
      <w:pPr>
        <w:rPr>
          <w:rFonts w:hint="eastAsia" w:ascii="宋体" w:hAnsi="宋体"/>
        </w:rPr>
      </w:pPr>
      <w:r>
        <w:rPr>
          <w:rFonts w:ascii="黑体" w:hAnsi="黑体" w:eastAsia="黑体"/>
        </w:rPr>
        <w:t>6.1</w:t>
      </w:r>
      <w:r>
        <w:rPr>
          <w:rFonts w:ascii="宋体" w:hAnsi="宋体"/>
        </w:rPr>
        <w:t xml:space="preserve"> </w:t>
      </w:r>
      <w:r>
        <w:rPr>
          <w:rFonts w:hint="eastAsia" w:ascii="宋体" w:hAnsi="宋体"/>
        </w:rPr>
        <w:t>根据核定站点所在江河湖泊堤防工程现状防洪标准，考虑防洪</w:t>
      </w:r>
      <w:r>
        <w:rPr>
          <w:rFonts w:ascii="宋体" w:hAnsi="宋体"/>
        </w:rPr>
        <w:t>安全保障</w:t>
      </w:r>
      <w:r>
        <w:rPr>
          <w:rFonts w:hint="eastAsia" w:ascii="宋体" w:hAnsi="宋体"/>
        </w:rPr>
        <w:t>要求、</w:t>
      </w:r>
      <w:r>
        <w:rPr>
          <w:rFonts w:ascii="宋体" w:hAnsi="宋体"/>
        </w:rPr>
        <w:t>河道泄洪能力等</w:t>
      </w:r>
      <w:r>
        <w:rPr>
          <w:rFonts w:hint="eastAsia" w:ascii="宋体" w:hAnsi="宋体"/>
        </w:rPr>
        <w:t>因素，分析警戒水位的重现期取值范围，重现期宜在</w:t>
      </w:r>
      <w:r>
        <w:rPr>
          <w:rFonts w:ascii="Times New Roman" w:hAnsi="Times New Roman"/>
        </w:rPr>
        <w:t>2年一遇至5</w:t>
      </w:r>
      <w:r>
        <w:rPr>
          <w:rFonts w:hint="eastAsia" w:ascii="宋体" w:hAnsi="宋体"/>
        </w:rPr>
        <w:t>年</w:t>
      </w:r>
      <w:r>
        <w:rPr>
          <w:rFonts w:ascii="宋体" w:hAnsi="宋体"/>
        </w:rPr>
        <w:t>一遇</w:t>
      </w:r>
      <w:r>
        <w:rPr>
          <w:rFonts w:hint="eastAsia" w:ascii="宋体" w:hAnsi="宋体"/>
        </w:rPr>
        <w:t>。</w:t>
      </w:r>
    </w:p>
    <w:p w14:paraId="6BBD9359">
      <w:pPr>
        <w:rPr>
          <w:rFonts w:hint="eastAsia" w:ascii="宋体" w:hAnsi="宋体"/>
        </w:rPr>
      </w:pPr>
      <w:r>
        <w:rPr>
          <w:rFonts w:ascii="黑体" w:hAnsi="黑体" w:eastAsia="黑体"/>
        </w:rPr>
        <w:t xml:space="preserve">6.2 </w:t>
      </w:r>
      <w:r>
        <w:rPr>
          <w:rFonts w:hint="eastAsia" w:ascii="宋体" w:hAnsi="宋体"/>
        </w:rPr>
        <w:t>根据核定站点历年最高水位资料，采用皮尔逊Ⅲ型曲线进行年最高水位频率分析，并选取不同长度系列的分析成果进行对比，</w:t>
      </w:r>
      <w:r>
        <w:rPr>
          <w:rFonts w:ascii="宋体" w:hAnsi="宋体"/>
        </w:rPr>
        <w:t>得到不同重现期的水位</w:t>
      </w:r>
      <w:r>
        <w:rPr>
          <w:rFonts w:hint="eastAsia" w:ascii="宋体" w:hAnsi="宋体"/>
        </w:rPr>
        <w:t>值。对已核定的警戒水位进行复核时，应对核定站点历年最高水位进行距平和累积距平分析，分析年</w:t>
      </w:r>
      <w:r>
        <w:rPr>
          <w:rFonts w:ascii="宋体" w:hAnsi="宋体"/>
        </w:rPr>
        <w:t>最高水位</w:t>
      </w:r>
      <w:r>
        <w:rPr>
          <w:rFonts w:hint="eastAsia" w:ascii="宋体" w:hAnsi="宋体"/>
        </w:rPr>
        <w:t>变化趋势。</w:t>
      </w:r>
    </w:p>
    <w:p w14:paraId="62CAAD20">
      <w:pPr>
        <w:rPr>
          <w:rFonts w:hint="eastAsia" w:ascii="宋体" w:hAnsi="宋体"/>
        </w:rPr>
      </w:pPr>
      <w:r>
        <w:rPr>
          <w:rFonts w:ascii="黑体" w:hAnsi="黑体" w:eastAsia="黑体"/>
        </w:rPr>
        <w:t>6.3</w:t>
      </w:r>
      <w:r>
        <w:rPr>
          <w:rFonts w:hint="eastAsia" w:ascii="宋体" w:hAnsi="宋体"/>
        </w:rPr>
        <w:t xml:space="preserve"> 为充分体现预警作用，针对核定站点拟定不同警戒水位方案，可按0.10m为分级进行设定，将核定站点的逐日平均水位与各分级水位方案比较，逐年统计超过各分级水位的天数，计算多年平均超警天数，并选取不同长度系列统计成果进行对比，选择超警天数适宜的水位</w:t>
      </w:r>
      <w:r>
        <w:rPr>
          <w:rFonts w:ascii="宋体" w:hAnsi="宋体"/>
        </w:rPr>
        <w:t>。</w:t>
      </w:r>
    </w:p>
    <w:p w14:paraId="14607EC4">
      <w:pPr>
        <w:rPr>
          <w:rFonts w:hint="eastAsia" w:ascii="宋体" w:hAnsi="宋体"/>
        </w:rPr>
      </w:pPr>
      <w:r>
        <w:rPr>
          <w:rFonts w:ascii="黑体" w:hAnsi="黑体" w:eastAsia="黑体"/>
        </w:rPr>
        <w:t>6.4</w:t>
      </w:r>
      <w:r>
        <w:rPr>
          <w:rFonts w:hint="eastAsia" w:ascii="宋体" w:hAnsi="宋体"/>
        </w:rPr>
        <w:t xml:space="preserve"> 根据典型</w:t>
      </w:r>
      <w:r>
        <w:rPr>
          <w:rFonts w:ascii="宋体" w:hAnsi="宋体"/>
        </w:rPr>
        <w:t>洪水年</w:t>
      </w:r>
      <w:r>
        <w:rPr>
          <w:rFonts w:hint="eastAsia" w:ascii="宋体" w:hAnsi="宋体"/>
        </w:rPr>
        <w:t>水位资料，分析</w:t>
      </w:r>
      <w:r>
        <w:rPr>
          <w:rFonts w:ascii="宋体" w:hAnsi="宋体"/>
        </w:rPr>
        <w:t>站点水位</w:t>
      </w:r>
      <w:r>
        <w:rPr>
          <w:rFonts w:hint="eastAsia" w:ascii="宋体" w:hAnsi="宋体"/>
        </w:rPr>
        <w:t>从警戒水位上涨至保证水位、最高水位的历时，以</w:t>
      </w:r>
      <w:r>
        <w:rPr>
          <w:rFonts w:ascii="宋体" w:hAnsi="宋体"/>
        </w:rPr>
        <w:t>保证</w:t>
      </w:r>
      <w:r>
        <w:rPr>
          <w:rFonts w:hint="eastAsia" w:ascii="宋体" w:hAnsi="宋体"/>
        </w:rPr>
        <w:t>留有足够</w:t>
      </w:r>
      <w:r>
        <w:rPr>
          <w:rFonts w:ascii="宋体" w:hAnsi="宋体"/>
        </w:rPr>
        <w:t>的</w:t>
      </w:r>
      <w:r>
        <w:rPr>
          <w:rFonts w:hint="eastAsia" w:ascii="宋体" w:hAnsi="宋体"/>
        </w:rPr>
        <w:t>预警时间采取应对措施。</w:t>
      </w:r>
    </w:p>
    <w:p w14:paraId="54EBEC62">
      <w:pPr>
        <w:rPr>
          <w:rFonts w:hint="eastAsia" w:ascii="宋体" w:hAnsi="宋体"/>
        </w:rPr>
      </w:pPr>
      <w:r>
        <w:rPr>
          <w:rFonts w:ascii="黑体" w:hAnsi="黑体" w:eastAsia="黑体"/>
        </w:rPr>
        <w:t>6.5</w:t>
      </w:r>
      <w:r>
        <w:rPr>
          <w:rFonts w:hint="eastAsia" w:ascii="宋体" w:hAnsi="宋体"/>
        </w:rPr>
        <w:t xml:space="preserve"> 对于漫滩行洪的河道，根据河道</w:t>
      </w:r>
      <w:r>
        <w:rPr>
          <w:rFonts w:ascii="宋体" w:hAnsi="宋体"/>
        </w:rPr>
        <w:t>实测</w:t>
      </w:r>
      <w:r>
        <w:rPr>
          <w:rFonts w:hint="eastAsia" w:ascii="宋体" w:hAnsi="宋体"/>
        </w:rPr>
        <w:t>地形和滩面高程，并结合防汛实践经验，分析确定</w:t>
      </w:r>
      <w:r>
        <w:rPr>
          <w:rFonts w:ascii="宋体" w:hAnsi="宋体"/>
        </w:rPr>
        <w:t>河道</w:t>
      </w:r>
      <w:r>
        <w:rPr>
          <w:rFonts w:hint="eastAsia" w:ascii="宋体" w:hAnsi="宋体"/>
        </w:rPr>
        <w:t>洪水普遍</w:t>
      </w:r>
      <w:r>
        <w:rPr>
          <w:rFonts w:ascii="宋体" w:hAnsi="宋体"/>
        </w:rPr>
        <w:t>漫滩</w:t>
      </w:r>
      <w:r>
        <w:rPr>
          <w:rFonts w:hint="eastAsia" w:ascii="宋体" w:hAnsi="宋体"/>
        </w:rPr>
        <w:t>或</w:t>
      </w:r>
      <w:r>
        <w:rPr>
          <w:rFonts w:ascii="宋体" w:hAnsi="宋体"/>
        </w:rPr>
        <w:t>堤防</w:t>
      </w:r>
      <w:r>
        <w:rPr>
          <w:rFonts w:hint="eastAsia" w:ascii="宋体" w:hAnsi="宋体"/>
        </w:rPr>
        <w:t>普遍</w:t>
      </w:r>
      <w:r>
        <w:rPr>
          <w:rFonts w:ascii="宋体" w:hAnsi="宋体"/>
        </w:rPr>
        <w:t>临水时的水位</w:t>
      </w:r>
      <w:r>
        <w:rPr>
          <w:rFonts w:hint="eastAsia" w:ascii="宋体" w:hAnsi="宋体"/>
        </w:rPr>
        <w:t>。</w:t>
      </w:r>
    </w:p>
    <w:p w14:paraId="79D85ADE">
      <w:pPr>
        <w:rPr>
          <w:rFonts w:hint="eastAsia" w:ascii="宋体" w:hAnsi="宋体"/>
        </w:rPr>
      </w:pPr>
      <w:r>
        <w:rPr>
          <w:rFonts w:ascii="黑体" w:hAnsi="黑体" w:eastAsia="黑体"/>
        </w:rPr>
        <w:t>6.</w:t>
      </w:r>
      <w:r>
        <w:rPr>
          <w:rFonts w:hint="eastAsia" w:ascii="黑体" w:hAnsi="黑体" w:eastAsia="黑体"/>
        </w:rPr>
        <w:t>6</w:t>
      </w:r>
      <w:r>
        <w:rPr>
          <w:rFonts w:hint="eastAsia" w:ascii="宋体" w:hAnsi="宋体"/>
        </w:rPr>
        <w:t xml:space="preserve"> 对于有长系列</w:t>
      </w:r>
      <w:r>
        <w:rPr>
          <w:rFonts w:ascii="宋体" w:hAnsi="宋体"/>
        </w:rPr>
        <w:t>流量资料</w:t>
      </w:r>
      <w:r>
        <w:rPr>
          <w:rFonts w:hint="eastAsia" w:ascii="宋体" w:hAnsi="宋体"/>
        </w:rPr>
        <w:t>、</w:t>
      </w:r>
      <w:r>
        <w:rPr>
          <w:rFonts w:ascii="宋体" w:hAnsi="宋体"/>
        </w:rPr>
        <w:t>水位-流量关系</w:t>
      </w:r>
      <w:r>
        <w:rPr>
          <w:rFonts w:hint="eastAsia" w:ascii="宋体" w:hAnsi="宋体"/>
        </w:rPr>
        <w:t>稳定且受工程调度影响较小的河道，分析河道发生警戒</w:t>
      </w:r>
      <w:r>
        <w:rPr>
          <w:rFonts w:ascii="宋体" w:hAnsi="宋体"/>
        </w:rPr>
        <w:t>水位重现期相应标准</w:t>
      </w:r>
      <w:r>
        <w:rPr>
          <w:rFonts w:hint="eastAsia" w:ascii="宋体" w:hAnsi="宋体"/>
        </w:rPr>
        <w:t>洪水</w:t>
      </w:r>
      <w:r>
        <w:rPr>
          <w:rFonts w:ascii="宋体" w:hAnsi="宋体"/>
        </w:rPr>
        <w:t>流量</w:t>
      </w:r>
      <w:r>
        <w:rPr>
          <w:rFonts w:hint="eastAsia" w:ascii="宋体" w:hAnsi="宋体"/>
        </w:rPr>
        <w:t>时核定站点</w:t>
      </w:r>
      <w:r>
        <w:rPr>
          <w:rFonts w:ascii="宋体" w:hAnsi="宋体"/>
        </w:rPr>
        <w:t>的水位</w:t>
      </w:r>
      <w:r>
        <w:rPr>
          <w:rFonts w:hint="eastAsia" w:ascii="宋体" w:hAnsi="宋体"/>
        </w:rPr>
        <w:t>。</w:t>
      </w:r>
    </w:p>
    <w:p w14:paraId="7C22ECBB">
      <w:pPr>
        <w:rPr>
          <w:rFonts w:hint="eastAsia" w:ascii="宋体" w:hAnsi="宋体"/>
        </w:rPr>
      </w:pPr>
      <w:r>
        <w:rPr>
          <w:rFonts w:ascii="黑体" w:hAnsi="黑体" w:eastAsia="黑体"/>
        </w:rPr>
        <w:t>6.</w:t>
      </w:r>
      <w:r>
        <w:rPr>
          <w:rFonts w:hint="eastAsia" w:ascii="黑体" w:hAnsi="黑体" w:eastAsia="黑体"/>
        </w:rPr>
        <w:t>7</w:t>
      </w:r>
      <w:r>
        <w:rPr>
          <w:rFonts w:ascii="黑体" w:hAnsi="黑体" w:eastAsia="黑体"/>
        </w:rPr>
        <w:t xml:space="preserve"> </w:t>
      </w:r>
      <w:r>
        <w:rPr>
          <w:rFonts w:hint="eastAsia" w:ascii="宋体" w:hAnsi="宋体"/>
        </w:rPr>
        <w:t>对于</w:t>
      </w:r>
      <w:r>
        <w:rPr>
          <w:rFonts w:ascii="宋体" w:hAnsi="宋体"/>
        </w:rPr>
        <w:t>平原</w:t>
      </w:r>
      <w:r>
        <w:rPr>
          <w:rFonts w:hint="eastAsia" w:ascii="宋体" w:hAnsi="宋体"/>
        </w:rPr>
        <w:t>河网</w:t>
      </w:r>
      <w:r>
        <w:rPr>
          <w:rFonts w:ascii="宋体" w:hAnsi="宋体"/>
        </w:rPr>
        <w:t>地区</w:t>
      </w:r>
      <w:r>
        <w:rPr>
          <w:rFonts w:hint="eastAsia" w:ascii="宋体" w:hAnsi="宋体"/>
        </w:rPr>
        <w:t>，根据核定站点所在流域、区域降雨资料，分析发生6</w:t>
      </w:r>
      <w:r>
        <w:rPr>
          <w:rFonts w:ascii="宋体" w:hAnsi="宋体"/>
        </w:rPr>
        <w:t>.1</w:t>
      </w:r>
      <w:r>
        <w:rPr>
          <w:rFonts w:hint="eastAsia" w:ascii="宋体" w:hAnsi="宋体"/>
        </w:rPr>
        <w:t>提出的重现期取值范围的降雨时，</w:t>
      </w:r>
      <w:r>
        <w:rPr>
          <w:rFonts w:ascii="宋体" w:hAnsi="宋体"/>
        </w:rPr>
        <w:t>站点</w:t>
      </w:r>
      <w:r>
        <w:rPr>
          <w:rFonts w:hint="eastAsia" w:ascii="宋体" w:hAnsi="宋体"/>
        </w:rPr>
        <w:t>实际出现的最高</w:t>
      </w:r>
      <w:r>
        <w:rPr>
          <w:rFonts w:ascii="宋体" w:hAnsi="宋体"/>
        </w:rPr>
        <w:t>水位</w:t>
      </w:r>
      <w:r>
        <w:rPr>
          <w:rFonts w:hint="eastAsia" w:ascii="宋体" w:hAnsi="宋体"/>
        </w:rPr>
        <w:t>；也可采用水文水动力数学模型，由相应重现期降雨</w:t>
      </w:r>
      <w:r>
        <w:rPr>
          <w:rFonts w:ascii="宋体" w:hAnsi="宋体"/>
        </w:rPr>
        <w:t>推算</w:t>
      </w:r>
      <w:r>
        <w:rPr>
          <w:rFonts w:hint="eastAsia" w:ascii="宋体" w:hAnsi="宋体"/>
        </w:rPr>
        <w:t>核定站点所在河湖洪水位。</w:t>
      </w:r>
    </w:p>
    <w:p w14:paraId="62E0CC53">
      <w:pPr>
        <w:rPr>
          <w:rFonts w:hint="eastAsia" w:ascii="宋体" w:hAnsi="宋体"/>
        </w:rPr>
      </w:pPr>
      <w:r>
        <w:rPr>
          <w:rFonts w:ascii="黑体" w:hAnsi="黑体" w:eastAsia="黑体"/>
        </w:rPr>
        <w:t>6.</w:t>
      </w:r>
      <w:r>
        <w:rPr>
          <w:rFonts w:hint="eastAsia" w:ascii="黑体" w:hAnsi="黑体" w:eastAsia="黑体"/>
        </w:rPr>
        <w:t>8</w:t>
      </w:r>
      <w:r>
        <w:rPr>
          <w:rFonts w:ascii="黑体" w:hAnsi="黑体" w:eastAsia="黑体"/>
        </w:rPr>
        <w:t xml:space="preserve"> </w:t>
      </w:r>
      <w:r>
        <w:rPr>
          <w:rFonts w:hint="eastAsia" w:ascii="宋体" w:hAnsi="宋体"/>
        </w:rPr>
        <w:t>综合江河湖泊堤防工程现状防洪能力、历史洪水及出险情况、水文统计与分析计算成果，结合</w:t>
      </w:r>
      <w:r>
        <w:rPr>
          <w:rFonts w:hint="eastAsia" w:ascii="Times New Roman" w:hAnsi="Times New Roman"/>
          <w:color w:val="000000"/>
        </w:rPr>
        <w:t>江河湖泊洪水普遍漫滩或重要堤段开始临水时的水位，</w:t>
      </w:r>
      <w:r>
        <w:rPr>
          <w:rFonts w:hint="eastAsia" w:ascii="宋体" w:hAnsi="宋体"/>
        </w:rPr>
        <w:t>并</w:t>
      </w:r>
      <w:r>
        <w:rPr>
          <w:rFonts w:ascii="宋体" w:hAnsi="宋体"/>
        </w:rPr>
        <w:t>考虑与相关</w:t>
      </w:r>
      <w:r>
        <w:rPr>
          <w:rFonts w:hint="eastAsia" w:ascii="宋体" w:hAnsi="宋体"/>
        </w:rPr>
        <w:t>水工程调度方案、应急预案、防汛工作制度、</w:t>
      </w:r>
      <w:r>
        <w:rPr>
          <w:rFonts w:hint="eastAsia" w:ascii="宋体" w:hAnsi="宋体"/>
          <w:color w:val="000000"/>
          <w:lang w:val="zh-CN"/>
        </w:rPr>
        <w:t>水情预警标准</w:t>
      </w:r>
      <w:r>
        <w:rPr>
          <w:rFonts w:hint="eastAsia" w:ascii="宋体" w:hAnsi="宋体"/>
        </w:rPr>
        <w:t>等衔接的要求，论证拟定警戒水位。</w:t>
      </w:r>
    </w:p>
    <w:p w14:paraId="650B78DF">
      <w:pPr>
        <w:rPr>
          <w:rFonts w:hint="eastAsia" w:ascii="宋体" w:hAnsi="宋体"/>
        </w:rPr>
      </w:pPr>
      <w:r>
        <w:rPr>
          <w:rFonts w:ascii="黑体" w:hAnsi="黑体" w:eastAsia="黑体"/>
        </w:rPr>
        <w:t>6.</w:t>
      </w:r>
      <w:r>
        <w:rPr>
          <w:rFonts w:hint="eastAsia" w:ascii="黑体" w:hAnsi="黑体" w:eastAsia="黑体"/>
        </w:rPr>
        <w:t>9</w:t>
      </w:r>
      <w:r>
        <w:rPr>
          <w:rFonts w:ascii="黑体" w:hAnsi="黑体" w:eastAsia="黑体"/>
        </w:rPr>
        <w:t xml:space="preserve"> </w:t>
      </w:r>
      <w:r>
        <w:rPr>
          <w:rFonts w:hint="eastAsia" w:ascii="宋体" w:hAnsi="宋体"/>
        </w:rPr>
        <w:t>从与上下游及周边地区邻近站点警戒水位的协调性、与所在区域汛情的协调性等方面</w:t>
      </w:r>
      <w:r>
        <w:rPr>
          <w:rFonts w:ascii="Times New Roman" w:hAnsi="Times New Roman"/>
          <w:color w:val="000000"/>
        </w:rPr>
        <w:t>分析</w:t>
      </w:r>
      <w:r>
        <w:rPr>
          <w:rFonts w:hint="eastAsia" w:ascii="Times New Roman" w:hAnsi="Times New Roman"/>
          <w:color w:val="000000"/>
        </w:rPr>
        <w:t>警戒水位核定</w:t>
      </w:r>
      <w:r>
        <w:rPr>
          <w:rFonts w:ascii="Times New Roman" w:hAnsi="Times New Roman"/>
          <w:color w:val="000000"/>
        </w:rPr>
        <w:t>成果</w:t>
      </w:r>
      <w:r>
        <w:rPr>
          <w:rFonts w:hint="eastAsia" w:ascii="Times New Roman" w:hAnsi="Times New Roman"/>
          <w:color w:val="000000"/>
        </w:rPr>
        <w:t>的</w:t>
      </w:r>
      <w:r>
        <w:rPr>
          <w:rFonts w:ascii="Times New Roman" w:hAnsi="Times New Roman"/>
          <w:color w:val="000000"/>
        </w:rPr>
        <w:t>合理性</w:t>
      </w:r>
      <w:r>
        <w:rPr>
          <w:rFonts w:hint="eastAsia" w:ascii="Times New Roman" w:hAnsi="Times New Roman"/>
          <w:color w:val="000000"/>
        </w:rPr>
        <w:t>。</w:t>
      </w:r>
    </w:p>
    <w:p w14:paraId="0428F25C">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48" w:name="_Toc172290860"/>
      <w:r>
        <w:rPr>
          <w:rFonts w:ascii="黑体" w:hAnsi="黑体" w:eastAsia="黑体"/>
          <w:b w:val="0"/>
          <w:bCs w:val="0"/>
          <w:color w:val="000000"/>
          <w:spacing w:val="4"/>
          <w:kern w:val="2"/>
          <w:sz w:val="21"/>
          <w:szCs w:val="21"/>
        </w:rPr>
        <w:t xml:space="preserve">7 </w:t>
      </w:r>
      <w:r>
        <w:rPr>
          <w:rFonts w:hint="eastAsia" w:ascii="黑体" w:hAnsi="黑体" w:eastAsia="黑体"/>
          <w:b w:val="0"/>
          <w:bCs w:val="0"/>
          <w:color w:val="000000"/>
          <w:spacing w:val="4"/>
          <w:kern w:val="2"/>
          <w:sz w:val="21"/>
          <w:szCs w:val="21"/>
        </w:rPr>
        <w:t>保证水位核定</w:t>
      </w:r>
      <w:bookmarkEnd w:id="48"/>
    </w:p>
    <w:p w14:paraId="31E663C0">
      <w:pPr>
        <w:rPr>
          <w:rFonts w:ascii="Times New Roman" w:hAnsi="Times New Roman"/>
          <w:color w:val="000000"/>
          <w:szCs w:val="21"/>
        </w:rPr>
      </w:pPr>
      <w:r>
        <w:rPr>
          <w:rFonts w:ascii="黑体" w:hAnsi="黑体" w:eastAsia="黑体"/>
          <w:color w:val="000000"/>
          <w:lang w:val="zh-CN"/>
        </w:rPr>
        <w:t xml:space="preserve">7.1 </w:t>
      </w:r>
      <w:r>
        <w:rPr>
          <w:rFonts w:ascii="Times New Roman" w:hAnsi="Times New Roman"/>
          <w:color w:val="000000"/>
          <w:lang w:val="zh-CN"/>
        </w:rPr>
        <w:t>保证水位</w:t>
      </w:r>
      <w:r>
        <w:rPr>
          <w:rFonts w:hint="eastAsia" w:ascii="Times New Roman" w:hAnsi="Times New Roman"/>
          <w:color w:val="000000"/>
          <w:lang w:val="zh-CN"/>
        </w:rPr>
        <w:t>核定，应考虑风暴潮、台风引起的风浪壅高、波浪爬高等增水，以及极端天气对江河湖泊水位的不利影响，适当留有余地。</w:t>
      </w:r>
    </w:p>
    <w:p w14:paraId="6E8D9CA8">
      <w:pPr>
        <w:rPr>
          <w:rFonts w:hint="eastAsia" w:ascii="宋体" w:hAnsi="宋体"/>
        </w:rPr>
      </w:pPr>
      <w:r>
        <w:rPr>
          <w:rFonts w:ascii="黑体" w:hAnsi="黑体" w:eastAsia="黑体"/>
        </w:rPr>
        <w:t xml:space="preserve">7.2 </w:t>
      </w:r>
      <w:r>
        <w:rPr>
          <w:rFonts w:hint="eastAsia" w:ascii="宋体" w:hAnsi="宋体"/>
        </w:rPr>
        <w:t>根据核定站点所在江河湖泊堤防工程现状防洪标准，</w:t>
      </w:r>
      <w:r>
        <w:rPr>
          <w:rFonts w:ascii="宋体" w:hAnsi="宋体"/>
        </w:rPr>
        <w:t>结合规划防洪标准，</w:t>
      </w:r>
      <w:r>
        <w:rPr>
          <w:rFonts w:hint="eastAsia" w:ascii="宋体" w:hAnsi="宋体"/>
        </w:rPr>
        <w:t>分析保证水位的重现期取值范围。</w:t>
      </w:r>
    </w:p>
    <w:p w14:paraId="49BFC60D">
      <w:pPr>
        <w:rPr>
          <w:rFonts w:hint="eastAsia" w:ascii="宋体" w:hAnsi="宋体"/>
        </w:rPr>
      </w:pPr>
      <w:r>
        <w:rPr>
          <w:rFonts w:ascii="黑体" w:hAnsi="黑体" w:eastAsia="黑体"/>
        </w:rPr>
        <w:t xml:space="preserve">7.3 </w:t>
      </w:r>
      <w:r>
        <w:rPr>
          <w:rFonts w:hint="eastAsia" w:ascii="宋体" w:hAnsi="宋体"/>
        </w:rPr>
        <w:t>根据核定站点历年最高水位资料，采用皮尔逊Ⅲ型曲线进行年最高水位频率分析，并选取不同长度系列的分析成果进行对比，</w:t>
      </w:r>
      <w:r>
        <w:rPr>
          <w:rFonts w:ascii="宋体" w:hAnsi="宋体"/>
        </w:rPr>
        <w:t>得到不同重现期的水位</w:t>
      </w:r>
      <w:r>
        <w:rPr>
          <w:rFonts w:hint="eastAsia" w:ascii="宋体" w:hAnsi="宋体"/>
        </w:rPr>
        <w:t>值。</w:t>
      </w:r>
    </w:p>
    <w:p w14:paraId="5D1DC5A6">
      <w:pPr>
        <w:rPr>
          <w:rFonts w:hint="eastAsia" w:ascii="宋体" w:hAnsi="宋体"/>
        </w:rPr>
      </w:pPr>
      <w:r>
        <w:rPr>
          <w:rFonts w:hint="eastAsia" w:ascii="黑体" w:hAnsi="黑体" w:eastAsia="黑体"/>
        </w:rPr>
        <w:t xml:space="preserve">7.4 </w:t>
      </w:r>
      <w:r>
        <w:rPr>
          <w:rFonts w:hint="eastAsia" w:ascii="宋体" w:hAnsi="宋体"/>
        </w:rPr>
        <w:t>梳理核定站点</w:t>
      </w:r>
      <w:r>
        <w:rPr>
          <w:rFonts w:ascii="宋体" w:hAnsi="宋体"/>
        </w:rPr>
        <w:t>所在流域、区域</w:t>
      </w:r>
      <w:r>
        <w:rPr>
          <w:rFonts w:hint="eastAsia" w:ascii="宋体" w:hAnsi="宋体"/>
        </w:rPr>
        <w:t>、江河湖泊相关规划确定的设计洪水位。</w:t>
      </w:r>
    </w:p>
    <w:p w14:paraId="5A3464D8">
      <w:pPr>
        <w:rPr>
          <w:rFonts w:hint="eastAsia" w:ascii="宋体" w:hAnsi="宋体"/>
        </w:rPr>
      </w:pPr>
      <w:r>
        <w:rPr>
          <w:rFonts w:hint="eastAsia" w:ascii="黑体" w:hAnsi="黑体" w:eastAsia="黑体"/>
        </w:rPr>
        <w:t>7.5</w:t>
      </w:r>
      <w:r>
        <w:rPr>
          <w:rFonts w:hint="eastAsia" w:ascii="宋体" w:hAnsi="宋体"/>
        </w:rPr>
        <w:t xml:space="preserve"> 对于有长系列</w:t>
      </w:r>
      <w:r>
        <w:rPr>
          <w:rFonts w:ascii="宋体" w:hAnsi="宋体"/>
        </w:rPr>
        <w:t>流量资料</w:t>
      </w:r>
      <w:r>
        <w:rPr>
          <w:rFonts w:hint="eastAsia" w:ascii="宋体" w:hAnsi="宋体"/>
        </w:rPr>
        <w:t>、</w:t>
      </w:r>
      <w:r>
        <w:rPr>
          <w:rFonts w:ascii="宋体" w:hAnsi="宋体"/>
        </w:rPr>
        <w:t>水位-流量关系</w:t>
      </w:r>
      <w:r>
        <w:rPr>
          <w:rFonts w:hint="eastAsia" w:ascii="宋体" w:hAnsi="宋体"/>
        </w:rPr>
        <w:t>稳定且受工程调度影响较小的河道，如相关规划未明确设计洪水位，可分析河道按设计</w:t>
      </w:r>
      <w:r>
        <w:rPr>
          <w:rFonts w:ascii="宋体" w:hAnsi="宋体"/>
        </w:rPr>
        <w:t>流量行洪时</w:t>
      </w:r>
      <w:r>
        <w:rPr>
          <w:rFonts w:hint="eastAsia" w:ascii="宋体" w:hAnsi="宋体"/>
        </w:rPr>
        <w:t>站点相应的</w:t>
      </w:r>
      <w:r>
        <w:rPr>
          <w:rFonts w:ascii="宋体" w:hAnsi="宋体"/>
        </w:rPr>
        <w:t>水位</w:t>
      </w:r>
      <w:r>
        <w:rPr>
          <w:rFonts w:hint="eastAsia" w:ascii="宋体" w:hAnsi="宋体"/>
        </w:rPr>
        <w:t>。</w:t>
      </w:r>
    </w:p>
    <w:p w14:paraId="270D8FC2">
      <w:pPr>
        <w:rPr>
          <w:rFonts w:hint="eastAsia" w:ascii="宋体" w:hAnsi="宋体"/>
        </w:rPr>
      </w:pPr>
      <w:r>
        <w:rPr>
          <w:rFonts w:ascii="黑体" w:hAnsi="黑体" w:eastAsia="黑体"/>
        </w:rPr>
        <w:t>7.</w:t>
      </w:r>
      <w:r>
        <w:rPr>
          <w:rFonts w:hint="eastAsia" w:ascii="黑体" w:hAnsi="黑体" w:eastAsia="黑体"/>
        </w:rPr>
        <w:t>6</w:t>
      </w:r>
      <w:r>
        <w:rPr>
          <w:rFonts w:ascii="黑体" w:hAnsi="黑体" w:eastAsia="黑体"/>
        </w:rPr>
        <w:t xml:space="preserve"> </w:t>
      </w:r>
      <w:r>
        <w:rPr>
          <w:rFonts w:hint="eastAsia" w:ascii="宋体" w:hAnsi="宋体"/>
        </w:rPr>
        <w:t>对于</w:t>
      </w:r>
      <w:r>
        <w:rPr>
          <w:rFonts w:ascii="宋体" w:hAnsi="宋体"/>
        </w:rPr>
        <w:t>平原</w:t>
      </w:r>
      <w:r>
        <w:rPr>
          <w:rFonts w:hint="eastAsia" w:ascii="宋体" w:hAnsi="宋体"/>
        </w:rPr>
        <w:t>河网</w:t>
      </w:r>
      <w:r>
        <w:rPr>
          <w:rFonts w:ascii="宋体" w:hAnsi="宋体"/>
        </w:rPr>
        <w:t>地区</w:t>
      </w:r>
      <w:r>
        <w:rPr>
          <w:rFonts w:hint="eastAsia" w:ascii="宋体" w:hAnsi="宋体"/>
        </w:rPr>
        <w:t>，可根据核定站点所在流域、区域降雨资料，分析发生7</w:t>
      </w:r>
      <w:r>
        <w:rPr>
          <w:rFonts w:ascii="宋体" w:hAnsi="宋体"/>
        </w:rPr>
        <w:t>.2</w:t>
      </w:r>
      <w:r>
        <w:rPr>
          <w:rFonts w:hint="eastAsia" w:ascii="宋体" w:hAnsi="宋体"/>
        </w:rPr>
        <w:t>提出的重现期取值范围的降雨时，</w:t>
      </w:r>
      <w:r>
        <w:rPr>
          <w:rFonts w:ascii="宋体" w:hAnsi="宋体"/>
        </w:rPr>
        <w:t>站点</w:t>
      </w:r>
      <w:r>
        <w:rPr>
          <w:rFonts w:hint="eastAsia" w:ascii="宋体" w:hAnsi="宋体"/>
        </w:rPr>
        <w:t>实际出现的最高</w:t>
      </w:r>
      <w:r>
        <w:rPr>
          <w:rFonts w:ascii="宋体" w:hAnsi="宋体"/>
        </w:rPr>
        <w:t>水位</w:t>
      </w:r>
      <w:r>
        <w:rPr>
          <w:rFonts w:hint="eastAsia" w:ascii="宋体" w:hAnsi="宋体"/>
        </w:rPr>
        <w:t>；也可采用水文水动力数学模型，由相应重现期降雨</w:t>
      </w:r>
      <w:r>
        <w:rPr>
          <w:rFonts w:ascii="宋体" w:hAnsi="宋体"/>
        </w:rPr>
        <w:t>推算</w:t>
      </w:r>
      <w:r>
        <w:rPr>
          <w:rFonts w:hint="eastAsia" w:ascii="宋体" w:hAnsi="宋体"/>
        </w:rPr>
        <w:t>核定站点所在河湖洪水位。</w:t>
      </w:r>
    </w:p>
    <w:p w14:paraId="4E50BE6C">
      <w:pPr>
        <w:rPr>
          <w:rFonts w:hint="eastAsia" w:ascii="宋体" w:hAnsi="宋体"/>
        </w:rPr>
      </w:pPr>
      <w:r>
        <w:rPr>
          <w:rFonts w:ascii="黑体" w:hAnsi="黑体" w:eastAsia="黑体"/>
        </w:rPr>
        <w:t>7</w:t>
      </w:r>
      <w:r>
        <w:rPr>
          <w:rFonts w:hint="eastAsia" w:ascii="黑体" w:hAnsi="黑体" w:eastAsia="黑体"/>
        </w:rPr>
        <w:t xml:space="preserve">.7 </w:t>
      </w:r>
      <w:r>
        <w:rPr>
          <w:rFonts w:hint="eastAsia" w:ascii="宋体" w:hAnsi="宋体"/>
        </w:rPr>
        <w:t>分析评估核定站点所在江河湖泊堤防工程现状防洪能力，</w:t>
      </w:r>
      <w:r>
        <w:rPr>
          <w:rFonts w:ascii="Times New Roman" w:hAnsi="Times New Roman"/>
          <w:color w:val="000000"/>
          <w:lang w:val="zh-CN"/>
        </w:rPr>
        <w:t>堤防已达到规划</w:t>
      </w:r>
      <w:r>
        <w:rPr>
          <w:rFonts w:hint="eastAsia" w:ascii="Times New Roman" w:hAnsi="Times New Roman"/>
          <w:color w:val="000000"/>
          <w:lang w:val="zh-CN"/>
        </w:rPr>
        <w:t>设防</w:t>
      </w:r>
      <w:r>
        <w:rPr>
          <w:rFonts w:ascii="Times New Roman" w:hAnsi="Times New Roman"/>
          <w:color w:val="000000"/>
          <w:lang w:val="zh-CN"/>
        </w:rPr>
        <w:t>标准的</w:t>
      </w:r>
      <w:r>
        <w:rPr>
          <w:rFonts w:hint="eastAsia" w:ascii="Times New Roman" w:hAnsi="Times New Roman"/>
          <w:color w:val="000000"/>
          <w:lang w:val="zh-CN"/>
        </w:rPr>
        <w:t>江河湖泊</w:t>
      </w:r>
      <w:r>
        <w:rPr>
          <w:rFonts w:ascii="Times New Roman" w:hAnsi="Times New Roman"/>
          <w:color w:val="000000"/>
          <w:lang w:val="zh-CN"/>
        </w:rPr>
        <w:t>，</w:t>
      </w:r>
      <w:r>
        <w:rPr>
          <w:rFonts w:hint="eastAsia" w:ascii="Times New Roman" w:hAnsi="Times New Roman"/>
          <w:color w:val="000000"/>
          <w:lang w:val="zh-CN"/>
        </w:rPr>
        <w:t>其保证水位即为</w:t>
      </w:r>
      <w:r>
        <w:rPr>
          <w:rFonts w:ascii="Times New Roman" w:hAnsi="Times New Roman"/>
          <w:color w:val="000000"/>
          <w:lang w:val="zh-CN"/>
        </w:rPr>
        <w:t>设计洪水位</w:t>
      </w:r>
      <w:r>
        <w:rPr>
          <w:rFonts w:hint="eastAsia" w:ascii="Times New Roman" w:hAnsi="Times New Roman"/>
          <w:color w:val="000000"/>
          <w:lang w:val="zh-CN"/>
        </w:rPr>
        <w:t>；</w:t>
      </w:r>
      <w:r>
        <w:rPr>
          <w:rFonts w:ascii="Times New Roman" w:hAnsi="Times New Roman"/>
          <w:color w:val="000000"/>
          <w:lang w:val="zh-CN"/>
        </w:rPr>
        <w:t>堤防尚未达到规划</w:t>
      </w:r>
      <w:r>
        <w:rPr>
          <w:rFonts w:hint="eastAsia" w:ascii="Times New Roman" w:hAnsi="Times New Roman"/>
          <w:color w:val="000000"/>
          <w:lang w:val="zh-CN"/>
        </w:rPr>
        <w:t>设防</w:t>
      </w:r>
      <w:r>
        <w:rPr>
          <w:rFonts w:ascii="Times New Roman" w:hAnsi="Times New Roman"/>
          <w:color w:val="000000"/>
          <w:lang w:val="zh-CN"/>
        </w:rPr>
        <w:t>标准的</w:t>
      </w:r>
      <w:r>
        <w:rPr>
          <w:rFonts w:hint="eastAsia" w:ascii="Times New Roman" w:hAnsi="Times New Roman"/>
          <w:color w:val="000000"/>
          <w:lang w:val="zh-CN"/>
        </w:rPr>
        <w:t>，综合江河湖泊堤防现状防洪能力、水文分析与计算成果、历史上</w:t>
      </w:r>
      <w:r>
        <w:rPr>
          <w:rFonts w:ascii="Times New Roman" w:hAnsi="Times New Roman"/>
          <w:color w:val="000000"/>
          <w:lang w:val="zh-CN"/>
        </w:rPr>
        <w:t>安全防御的</w:t>
      </w:r>
      <w:r>
        <w:rPr>
          <w:rFonts w:hint="eastAsia" w:ascii="Times New Roman" w:hAnsi="Times New Roman"/>
          <w:color w:val="000000"/>
          <w:lang w:val="zh-CN"/>
        </w:rPr>
        <w:t>最高</w:t>
      </w:r>
      <w:r>
        <w:rPr>
          <w:rFonts w:ascii="Times New Roman" w:hAnsi="Times New Roman"/>
          <w:color w:val="000000"/>
          <w:lang w:val="zh-CN"/>
        </w:rPr>
        <w:t>洪水位</w:t>
      </w:r>
      <w:r>
        <w:rPr>
          <w:rFonts w:hint="eastAsia" w:ascii="Times New Roman" w:hAnsi="Times New Roman"/>
          <w:color w:val="000000"/>
          <w:lang w:val="zh-CN"/>
        </w:rPr>
        <w:t>，并参照</w:t>
      </w:r>
      <w:r>
        <w:rPr>
          <w:rFonts w:ascii="Times New Roman" w:hAnsi="Times New Roman"/>
          <w:color w:val="000000"/>
          <w:lang w:val="zh-CN"/>
        </w:rPr>
        <w:t>现状堤顶高程</w:t>
      </w:r>
      <w:r>
        <w:rPr>
          <w:rFonts w:hint="eastAsia" w:ascii="宋体" w:hAnsi="宋体"/>
        </w:rPr>
        <w:t>扣除</w:t>
      </w:r>
      <w:r>
        <w:rPr>
          <w:rFonts w:ascii="Times New Roman" w:hAnsi="Times New Roman"/>
        </w:rPr>
        <w:t>GB</w:t>
      </w:r>
      <w:r>
        <w:rPr>
          <w:rFonts w:hint="eastAsia" w:ascii="Times New Roman" w:hAnsi="Times New Roman"/>
        </w:rPr>
        <w:t xml:space="preserve"> </w:t>
      </w:r>
      <w:r>
        <w:rPr>
          <w:rFonts w:ascii="Times New Roman" w:hAnsi="Times New Roman"/>
        </w:rPr>
        <w:t>50286</w:t>
      </w:r>
      <w:r>
        <w:rPr>
          <w:rFonts w:hint="eastAsia" w:ascii="宋体" w:hAnsi="宋体"/>
        </w:rPr>
        <w:t>规定的相应设计超高值后的水位，论证拟定保证</w:t>
      </w:r>
      <w:r>
        <w:rPr>
          <w:rFonts w:ascii="宋体" w:hAnsi="宋体"/>
        </w:rPr>
        <w:t>水位</w:t>
      </w:r>
      <w:r>
        <w:rPr>
          <w:rFonts w:hint="eastAsia" w:ascii="宋体" w:hAnsi="宋体"/>
        </w:rPr>
        <w:t>。</w:t>
      </w:r>
    </w:p>
    <w:p w14:paraId="0AA610E0">
      <w:pPr>
        <w:rPr>
          <w:rFonts w:ascii="Times New Roman" w:hAnsi="Times New Roman"/>
          <w:color w:val="000000"/>
          <w:szCs w:val="21"/>
        </w:rPr>
      </w:pPr>
      <w:r>
        <w:rPr>
          <w:rFonts w:ascii="黑体" w:hAnsi="黑体" w:eastAsia="黑体"/>
        </w:rPr>
        <w:t>7.</w:t>
      </w:r>
      <w:r>
        <w:rPr>
          <w:rFonts w:hint="eastAsia" w:ascii="黑体" w:hAnsi="黑体" w:eastAsia="黑体"/>
        </w:rPr>
        <w:t>8</w:t>
      </w:r>
      <w:r>
        <w:rPr>
          <w:rFonts w:ascii="宋体" w:hAnsi="宋体"/>
        </w:rPr>
        <w:t xml:space="preserve"> </w:t>
      </w:r>
      <w:r>
        <w:rPr>
          <w:rFonts w:hint="eastAsia" w:ascii="宋体" w:hAnsi="宋体"/>
        </w:rPr>
        <w:t>从与上下游及周边地区邻近站点保证水位的协调性、与所在区域汛情及防洪能力的协调性等方面分析保证水位核定</w:t>
      </w:r>
      <w:r>
        <w:rPr>
          <w:rFonts w:ascii="宋体" w:hAnsi="宋体"/>
        </w:rPr>
        <w:t>成果</w:t>
      </w:r>
      <w:r>
        <w:rPr>
          <w:rFonts w:hint="eastAsia" w:ascii="宋体" w:hAnsi="宋体"/>
        </w:rPr>
        <w:t>的合理性。</w:t>
      </w:r>
    </w:p>
    <w:p w14:paraId="1FE21A79">
      <w:pPr>
        <w:pStyle w:val="2"/>
        <w:keepLines w:val="0"/>
        <w:widowControl/>
        <w:adjustRightInd w:val="0"/>
        <w:spacing w:before="156" w:beforeLines="50" w:after="156" w:afterLines="50" w:line="360" w:lineRule="auto"/>
        <w:jc w:val="left"/>
        <w:textAlignment w:val="baseline"/>
        <w:rPr>
          <w:rFonts w:hint="eastAsia" w:ascii="黑体" w:hAnsi="黑体" w:eastAsia="黑体"/>
          <w:b w:val="0"/>
          <w:bCs w:val="0"/>
          <w:color w:val="000000"/>
          <w:spacing w:val="4"/>
          <w:kern w:val="2"/>
          <w:sz w:val="21"/>
          <w:szCs w:val="21"/>
        </w:rPr>
      </w:pPr>
      <w:bookmarkStart w:id="49" w:name="_Toc172290861"/>
      <w:r>
        <w:rPr>
          <w:rFonts w:ascii="黑体" w:hAnsi="黑体" w:eastAsia="黑体"/>
          <w:b w:val="0"/>
          <w:bCs w:val="0"/>
          <w:color w:val="000000"/>
          <w:spacing w:val="4"/>
          <w:kern w:val="2"/>
          <w:sz w:val="21"/>
          <w:szCs w:val="21"/>
        </w:rPr>
        <w:t xml:space="preserve">8 </w:t>
      </w:r>
      <w:r>
        <w:rPr>
          <w:rFonts w:hint="eastAsia" w:ascii="黑体" w:hAnsi="黑体" w:eastAsia="黑体"/>
          <w:b w:val="0"/>
          <w:bCs w:val="0"/>
          <w:color w:val="000000"/>
          <w:spacing w:val="4"/>
          <w:kern w:val="2"/>
          <w:sz w:val="21"/>
          <w:szCs w:val="21"/>
        </w:rPr>
        <w:t>旱限（警）水位核定</w:t>
      </w:r>
      <w:bookmarkEnd w:id="49"/>
    </w:p>
    <w:p w14:paraId="401E572B">
      <w:pPr>
        <w:rPr>
          <w:rFonts w:ascii="Times New Roman" w:hAnsi="Times New Roman"/>
          <w:color w:val="000000"/>
          <w:lang w:val="zh-CN"/>
        </w:rPr>
      </w:pPr>
      <w:r>
        <w:rPr>
          <w:rFonts w:ascii="黑体" w:hAnsi="黑体" w:eastAsia="黑体"/>
          <w:color w:val="000000"/>
          <w:lang w:val="zh-CN"/>
        </w:rPr>
        <w:t xml:space="preserve">8.1 </w:t>
      </w:r>
      <w:r>
        <w:rPr>
          <w:rFonts w:hint="eastAsia" w:ascii="Times New Roman" w:hAnsi="Times New Roman"/>
          <w:color w:val="000000"/>
          <w:lang w:val="zh-CN"/>
        </w:rPr>
        <w:t>旱限（警）水位核定，应根据江河湖泊的功能，考虑城乡供水、工业生产、农业灌溉、交通航运、生态环境等对江河湖泊水位的保障需求，进行综合论证。</w:t>
      </w:r>
    </w:p>
    <w:p w14:paraId="6702E3D6">
      <w:pPr>
        <w:rPr>
          <w:rFonts w:ascii="Times New Roman" w:hAnsi="Times New Roman"/>
          <w:color w:val="000000"/>
          <w:lang w:val="zh-CN"/>
        </w:rPr>
      </w:pPr>
      <w:r>
        <w:rPr>
          <w:rFonts w:ascii="黑体" w:hAnsi="黑体" w:eastAsia="黑体"/>
          <w:color w:val="000000"/>
          <w:lang w:val="zh-CN"/>
        </w:rPr>
        <w:t xml:space="preserve">8.2 </w:t>
      </w:r>
      <w:r>
        <w:rPr>
          <w:rFonts w:hint="eastAsia" w:ascii="Times New Roman" w:hAnsi="Times New Roman"/>
          <w:color w:val="000000"/>
          <w:lang w:val="zh-CN"/>
        </w:rPr>
        <w:t>根据核定站点所在江河湖泊供水保证率及相关规划要求，分析旱限（警）水位的保证率取值范围，保证率宜在50%至</w:t>
      </w:r>
      <w:r>
        <w:rPr>
          <w:rFonts w:ascii="Times New Roman" w:hAnsi="Times New Roman"/>
          <w:color w:val="000000"/>
          <w:lang w:val="zh-CN"/>
        </w:rPr>
        <w:t>95%</w:t>
      </w:r>
      <w:r>
        <w:rPr>
          <w:rFonts w:hint="eastAsia" w:ascii="Times New Roman" w:hAnsi="Times New Roman"/>
          <w:color w:val="000000"/>
          <w:lang w:val="zh-CN"/>
        </w:rPr>
        <w:t>。</w:t>
      </w:r>
    </w:p>
    <w:p w14:paraId="74EB7310">
      <w:pPr>
        <w:rPr>
          <w:rFonts w:hint="eastAsia" w:ascii="黑体" w:hAnsi="黑体" w:eastAsia="黑体"/>
        </w:rPr>
      </w:pPr>
      <w:r>
        <w:rPr>
          <w:rFonts w:hint="eastAsia" w:ascii="黑体" w:hAnsi="黑体" w:eastAsia="黑体"/>
        </w:rPr>
        <w:t xml:space="preserve">8.3 </w:t>
      </w:r>
      <w:r>
        <w:rPr>
          <w:rFonts w:hint="eastAsia" w:ascii="宋体" w:hAnsi="宋体"/>
        </w:rPr>
        <w:t>根据核定站点逐日平均水位资料，绘制累积频率（综合历时）曲线，选取不同长度系列进行对比，得到不同综合历时保证率的水位值。</w:t>
      </w:r>
    </w:p>
    <w:p w14:paraId="07AA235A">
      <w:pPr>
        <w:rPr>
          <w:rFonts w:hint="eastAsia" w:ascii="宋体" w:hAnsi="宋体"/>
        </w:rPr>
      </w:pPr>
      <w:r>
        <w:rPr>
          <w:rFonts w:hint="eastAsia" w:ascii="黑体" w:hAnsi="黑体" w:eastAsia="黑体"/>
        </w:rPr>
        <w:t>8.4</w:t>
      </w:r>
      <w:r>
        <w:rPr>
          <w:rFonts w:ascii="黑体" w:hAnsi="黑体" w:eastAsia="黑体"/>
        </w:rPr>
        <w:t xml:space="preserve"> </w:t>
      </w:r>
      <w:r>
        <w:rPr>
          <w:rFonts w:hint="eastAsia" w:ascii="宋体" w:hAnsi="宋体"/>
        </w:rPr>
        <w:t>根据核定站点历年最低水位资料，采用皮尔逊Ⅲ型曲线进行年最低水位频率分析，并选取不同长度系列的分析成果进行对比，</w:t>
      </w:r>
      <w:r>
        <w:rPr>
          <w:rFonts w:ascii="宋体" w:hAnsi="宋体"/>
        </w:rPr>
        <w:t>得到不同</w:t>
      </w:r>
      <w:r>
        <w:rPr>
          <w:rFonts w:hint="eastAsia" w:ascii="宋体" w:hAnsi="宋体"/>
        </w:rPr>
        <w:t>保证率</w:t>
      </w:r>
      <w:r>
        <w:rPr>
          <w:rFonts w:ascii="宋体" w:hAnsi="宋体"/>
        </w:rPr>
        <w:t>的水位</w:t>
      </w:r>
      <w:r>
        <w:rPr>
          <w:rFonts w:hint="eastAsia" w:ascii="宋体" w:hAnsi="宋体"/>
        </w:rPr>
        <w:t>值。对已核定的旱限（警）水位进行复核时，应对核定站点历年最低水位进行距平和累积距平分析，分析年最低</w:t>
      </w:r>
      <w:r>
        <w:rPr>
          <w:rFonts w:ascii="宋体" w:hAnsi="宋体"/>
        </w:rPr>
        <w:t>水位</w:t>
      </w:r>
      <w:r>
        <w:rPr>
          <w:rFonts w:hint="eastAsia" w:ascii="宋体" w:hAnsi="宋体"/>
        </w:rPr>
        <w:t>变化趋势。</w:t>
      </w:r>
    </w:p>
    <w:p w14:paraId="16343CDD">
      <w:pPr>
        <w:rPr>
          <w:rFonts w:hint="eastAsia" w:ascii="宋体" w:hAnsi="宋体"/>
        </w:rPr>
      </w:pPr>
      <w:r>
        <w:rPr>
          <w:rFonts w:ascii="黑体" w:hAnsi="黑体" w:eastAsia="黑体"/>
        </w:rPr>
        <w:t>8.</w:t>
      </w:r>
      <w:r>
        <w:rPr>
          <w:rFonts w:hint="eastAsia" w:ascii="黑体" w:hAnsi="黑体" w:eastAsia="黑体"/>
        </w:rPr>
        <w:t>5</w:t>
      </w:r>
      <w:r>
        <w:rPr>
          <w:rFonts w:hint="eastAsia" w:ascii="宋体" w:hAnsi="宋体"/>
        </w:rPr>
        <w:t xml:space="preserve"> 对从江河湖泊直接取水口门、泵站运行要求进行调查，分析最低水位要求。</w:t>
      </w:r>
    </w:p>
    <w:p w14:paraId="6D0FA64D">
      <w:pPr>
        <w:rPr>
          <w:rFonts w:hint="eastAsia" w:ascii="宋体" w:hAnsi="宋体"/>
        </w:rPr>
      </w:pPr>
      <w:r>
        <w:rPr>
          <w:rFonts w:ascii="黑体" w:hAnsi="黑体" w:eastAsia="黑体"/>
        </w:rPr>
        <w:t>8.</w:t>
      </w:r>
      <w:r>
        <w:rPr>
          <w:rFonts w:hint="eastAsia" w:ascii="黑体" w:hAnsi="黑体" w:eastAsia="黑体"/>
        </w:rPr>
        <w:t>6</w:t>
      </w:r>
      <w:r>
        <w:rPr>
          <w:rFonts w:ascii="黑体" w:hAnsi="黑体" w:eastAsia="黑体"/>
        </w:rPr>
        <w:t xml:space="preserve"> </w:t>
      </w:r>
      <w:r>
        <w:rPr>
          <w:rFonts w:hint="eastAsia" w:ascii="宋体" w:hAnsi="宋体"/>
        </w:rPr>
        <w:t>旱限（警）水位应满足河湖生态水位保障需要，核定站点尚未确定生态水位的，参照</w:t>
      </w:r>
      <w:r>
        <w:rPr>
          <w:rFonts w:ascii="Times New Roman" w:hAnsi="Times New Roman"/>
        </w:rPr>
        <w:t>SL/T 712</w:t>
      </w:r>
      <w:r>
        <w:rPr>
          <w:rFonts w:ascii="宋体" w:hAnsi="宋体"/>
        </w:rPr>
        <w:t>的相关</w:t>
      </w:r>
      <w:r>
        <w:rPr>
          <w:rFonts w:hint="eastAsia" w:ascii="宋体" w:hAnsi="宋体"/>
        </w:rPr>
        <w:t>规定，分析河湖生态水位保障需求。</w:t>
      </w:r>
    </w:p>
    <w:p w14:paraId="0C6BC4C6">
      <w:pPr>
        <w:rPr>
          <w:rFonts w:hint="eastAsia" w:ascii="宋体" w:hAnsi="宋体"/>
        </w:rPr>
      </w:pPr>
      <w:r>
        <w:rPr>
          <w:rFonts w:ascii="黑体" w:hAnsi="黑体" w:eastAsia="黑体"/>
        </w:rPr>
        <w:t>8.</w:t>
      </w:r>
      <w:r>
        <w:rPr>
          <w:rFonts w:hint="eastAsia" w:ascii="黑体" w:hAnsi="黑体" w:eastAsia="黑体"/>
        </w:rPr>
        <w:t>7</w:t>
      </w:r>
      <w:r>
        <w:rPr>
          <w:rFonts w:hint="eastAsia" w:ascii="宋体" w:hAnsi="宋体"/>
        </w:rPr>
        <w:t xml:space="preserve"> 对于有航运功能的河道，旱限（警）水位应兼顾最低通航水位保障需要；对于有航运功能但尚未确定最低通航水位</w:t>
      </w:r>
      <w:r>
        <w:rPr>
          <w:rFonts w:ascii="宋体" w:hAnsi="宋体"/>
        </w:rPr>
        <w:t>的河道，</w:t>
      </w:r>
      <w:r>
        <w:rPr>
          <w:rFonts w:hint="eastAsia" w:ascii="宋体" w:hAnsi="宋体"/>
        </w:rPr>
        <w:t>根据航道</w:t>
      </w:r>
      <w:r>
        <w:rPr>
          <w:rFonts w:ascii="宋体" w:hAnsi="宋体"/>
        </w:rPr>
        <w:t>等级和</w:t>
      </w:r>
      <w:r>
        <w:rPr>
          <w:rFonts w:ascii="Times New Roman" w:hAnsi="Times New Roman"/>
        </w:rPr>
        <w:t>GB 50139的</w:t>
      </w:r>
      <w:r>
        <w:rPr>
          <w:rFonts w:hint="eastAsia" w:ascii="宋体" w:hAnsi="宋体"/>
        </w:rPr>
        <w:t>相关规定，分析最低通航水位保障需求。</w:t>
      </w:r>
    </w:p>
    <w:p w14:paraId="1D688984">
      <w:pPr>
        <w:rPr>
          <w:rFonts w:hint="eastAsia" w:ascii="宋体" w:hAnsi="宋体"/>
        </w:rPr>
      </w:pPr>
      <w:r>
        <w:rPr>
          <w:rFonts w:hint="eastAsia" w:ascii="黑体" w:hAnsi="黑体" w:eastAsia="黑体"/>
        </w:rPr>
        <w:t>8.8</w:t>
      </w:r>
      <w:r>
        <w:rPr>
          <w:rFonts w:hint="eastAsia" w:ascii="宋体" w:hAnsi="宋体"/>
        </w:rPr>
        <w:t xml:space="preserve"> 对于有供水功能的河道，旱限（警）水位应兼顾调水期间最低运行水位要求。</w:t>
      </w:r>
    </w:p>
    <w:p w14:paraId="4E705F86">
      <w:pPr>
        <w:rPr>
          <w:rFonts w:hint="eastAsia" w:ascii="宋体" w:hAnsi="宋体"/>
          <w:color w:val="000000"/>
        </w:rPr>
      </w:pPr>
      <w:r>
        <w:rPr>
          <w:rFonts w:ascii="黑体" w:hAnsi="黑体" w:eastAsia="黑体"/>
          <w:color w:val="000000"/>
        </w:rPr>
        <w:t>8.</w:t>
      </w:r>
      <w:r>
        <w:rPr>
          <w:rFonts w:hint="eastAsia" w:ascii="黑体" w:hAnsi="黑体" w:eastAsia="黑体"/>
          <w:color w:val="000000"/>
        </w:rPr>
        <w:t>9</w:t>
      </w:r>
      <w:r>
        <w:rPr>
          <w:rFonts w:hint="eastAsia" w:ascii="宋体" w:hAnsi="宋体"/>
          <w:color w:val="000000"/>
        </w:rPr>
        <w:t xml:space="preserve"> 综合水文分析与计算成果，统筹兼顾取水口和泵站运行最低水位要求、生态水位、最低通航水位等保障要求，并考虑与抗旱规划、水资源综合规划等相关规划和水量分配方案等衔接的要求，论证拟定旱限（警）水位。</w:t>
      </w:r>
    </w:p>
    <w:p w14:paraId="480D77F6">
      <w:pPr>
        <w:rPr>
          <w:rFonts w:ascii="Times New Roman" w:hAnsi="Times New Roman"/>
          <w:color w:val="000000"/>
        </w:rPr>
      </w:pPr>
      <w:r>
        <w:rPr>
          <w:rFonts w:ascii="黑体" w:hAnsi="黑体" w:eastAsia="黑体"/>
        </w:rPr>
        <w:t>8.</w:t>
      </w:r>
      <w:r>
        <w:rPr>
          <w:rFonts w:hint="eastAsia" w:ascii="黑体" w:hAnsi="黑体" w:eastAsia="黑体"/>
        </w:rPr>
        <w:t>10</w:t>
      </w:r>
      <w:r>
        <w:rPr>
          <w:rFonts w:ascii="黑体" w:hAnsi="黑体" w:eastAsia="黑体"/>
        </w:rPr>
        <w:t xml:space="preserve"> </w:t>
      </w:r>
      <w:r>
        <w:rPr>
          <w:rFonts w:hint="eastAsia" w:ascii="宋体" w:hAnsi="宋体"/>
        </w:rPr>
        <w:t>从与上下游及周边地区邻近站点旱限（警）水位的协调性、与所在区域旱情的协调性等方面</w:t>
      </w:r>
      <w:r>
        <w:rPr>
          <w:rFonts w:ascii="Times New Roman" w:hAnsi="Times New Roman"/>
          <w:color w:val="000000"/>
        </w:rPr>
        <w:t>分析</w:t>
      </w:r>
      <w:r>
        <w:rPr>
          <w:rFonts w:hint="eastAsia" w:ascii="Times New Roman" w:hAnsi="Times New Roman"/>
          <w:color w:val="000000"/>
        </w:rPr>
        <w:t>旱限（警）水位核定</w:t>
      </w:r>
      <w:r>
        <w:rPr>
          <w:rFonts w:ascii="Times New Roman" w:hAnsi="Times New Roman"/>
          <w:color w:val="000000"/>
        </w:rPr>
        <w:t>成果</w:t>
      </w:r>
      <w:r>
        <w:rPr>
          <w:rFonts w:hint="eastAsia" w:ascii="Times New Roman" w:hAnsi="Times New Roman"/>
          <w:color w:val="000000"/>
        </w:rPr>
        <w:t>的</w:t>
      </w:r>
      <w:r>
        <w:rPr>
          <w:rFonts w:ascii="Times New Roman" w:hAnsi="Times New Roman"/>
          <w:color w:val="000000"/>
        </w:rPr>
        <w:t>合理性</w:t>
      </w:r>
      <w:r>
        <w:rPr>
          <w:rFonts w:hint="eastAsia" w:ascii="Times New Roman" w:hAnsi="Times New Roman"/>
          <w:color w:val="000000"/>
        </w:rPr>
        <w:t>。</w:t>
      </w:r>
    </w:p>
    <w:p w14:paraId="7B24DACB">
      <w:pPr>
        <w:rPr>
          <w:rFonts w:ascii="Times New Roman" w:hAnsi="Times New Roman"/>
          <w:color w:val="000000"/>
        </w:rPr>
        <w:sectPr>
          <w:footerReference r:id="rId14" w:type="even"/>
          <w:pgSz w:w="11906" w:h="16838"/>
          <w:pgMar w:top="1134" w:right="1418" w:bottom="567" w:left="1134" w:header="1418" w:footer="851" w:gutter="0"/>
          <w:pgNumType w:start="1"/>
          <w:cols w:space="720" w:num="1"/>
          <w:docGrid w:type="lines" w:linePitch="312" w:charSpace="0"/>
        </w:sectPr>
      </w:pPr>
    </w:p>
    <w:p w14:paraId="2C1471E6">
      <w:pPr>
        <w:pStyle w:val="2"/>
        <w:keepLines w:val="0"/>
        <w:widowControl/>
        <w:spacing w:before="0" w:after="0" w:line="240" w:lineRule="auto"/>
        <w:jc w:val="center"/>
        <w:textAlignment w:val="baseline"/>
        <w:rPr>
          <w:rFonts w:hint="eastAsia" w:ascii="黑体" w:hAnsi="黑体" w:eastAsia="黑体"/>
          <w:b w:val="0"/>
          <w:color w:val="000000"/>
          <w:spacing w:val="4"/>
          <w:kern w:val="2"/>
          <w:sz w:val="21"/>
          <w:szCs w:val="21"/>
        </w:rPr>
      </w:pPr>
      <w:bookmarkStart w:id="50" w:name="_Toc172290862"/>
      <w:bookmarkStart w:id="51" w:name="_Toc60952943"/>
      <w:r>
        <w:rPr>
          <w:rFonts w:hint="eastAsia" w:ascii="黑体" w:hAnsi="黑体" w:eastAsia="黑体"/>
          <w:b w:val="0"/>
          <w:color w:val="000000"/>
          <w:spacing w:val="4"/>
          <w:kern w:val="2"/>
          <w:sz w:val="21"/>
          <w:szCs w:val="21"/>
        </w:rPr>
        <w:t>附录</w:t>
      </w:r>
      <w:r>
        <w:rPr>
          <w:rFonts w:ascii="黑体" w:hAnsi="黑体" w:eastAsia="黑体"/>
          <w:b w:val="0"/>
          <w:color w:val="000000"/>
          <w:spacing w:val="4"/>
          <w:kern w:val="2"/>
          <w:sz w:val="21"/>
          <w:szCs w:val="21"/>
        </w:rPr>
        <w:t>A</w:t>
      </w:r>
      <w:bookmarkEnd w:id="50"/>
      <w:bookmarkEnd w:id="51"/>
    </w:p>
    <w:p w14:paraId="27624CA3">
      <w:pPr>
        <w:spacing w:line="240" w:lineRule="auto"/>
        <w:jc w:val="center"/>
        <w:rPr>
          <w:rFonts w:hint="eastAsia" w:ascii="黑体" w:hAnsi="黑体" w:eastAsia="黑体"/>
          <w:color w:val="000000"/>
        </w:rPr>
      </w:pPr>
      <w:r>
        <w:rPr>
          <w:rFonts w:hint="eastAsia" w:ascii="黑体" w:hAnsi="黑体" w:eastAsia="黑体"/>
          <w:color w:val="000000"/>
        </w:rPr>
        <w:t>（资料性）</w:t>
      </w:r>
    </w:p>
    <w:p w14:paraId="0122D905">
      <w:pPr>
        <w:pStyle w:val="2"/>
        <w:keepLines w:val="0"/>
        <w:widowControl/>
        <w:spacing w:before="0" w:after="0" w:line="240" w:lineRule="auto"/>
        <w:jc w:val="center"/>
        <w:textAlignment w:val="baseline"/>
        <w:rPr>
          <w:rFonts w:hint="eastAsia" w:ascii="黑体" w:hAnsi="黑体" w:eastAsia="黑体"/>
          <w:b w:val="0"/>
          <w:color w:val="000000"/>
          <w:spacing w:val="4"/>
          <w:kern w:val="2"/>
          <w:sz w:val="21"/>
          <w:szCs w:val="21"/>
        </w:rPr>
      </w:pPr>
      <w:bookmarkStart w:id="52" w:name="_Toc60952944"/>
      <w:bookmarkStart w:id="53" w:name="_Toc60953033"/>
      <w:bookmarkStart w:id="54" w:name="_Toc9044"/>
      <w:bookmarkStart w:id="55" w:name="_Toc91726606"/>
      <w:bookmarkStart w:id="56" w:name="_Toc172290863"/>
      <w:r>
        <w:rPr>
          <w:rFonts w:hint="eastAsia" w:ascii="黑体" w:hAnsi="黑体" w:eastAsia="黑体"/>
          <w:b w:val="0"/>
          <w:color w:val="000000"/>
          <w:spacing w:val="4"/>
          <w:kern w:val="2"/>
          <w:sz w:val="21"/>
          <w:szCs w:val="21"/>
        </w:rPr>
        <w:t>防汛</w:t>
      </w:r>
      <w:r>
        <w:rPr>
          <w:rFonts w:ascii="黑体" w:hAnsi="黑体" w:eastAsia="黑体"/>
          <w:b w:val="0"/>
          <w:color w:val="000000"/>
          <w:spacing w:val="4"/>
          <w:kern w:val="2"/>
          <w:sz w:val="21"/>
          <w:szCs w:val="21"/>
        </w:rPr>
        <w:t>抗旱特征水位核定</w:t>
      </w:r>
      <w:r>
        <w:rPr>
          <w:rFonts w:hint="eastAsia" w:ascii="黑体" w:hAnsi="黑体" w:eastAsia="黑体"/>
          <w:b w:val="0"/>
          <w:color w:val="000000"/>
          <w:spacing w:val="4"/>
          <w:kern w:val="2"/>
          <w:sz w:val="21"/>
          <w:szCs w:val="21"/>
        </w:rPr>
        <w:t>技术报告提纲</w:t>
      </w:r>
      <w:bookmarkEnd w:id="52"/>
      <w:bookmarkEnd w:id="53"/>
      <w:bookmarkEnd w:id="54"/>
      <w:r>
        <w:rPr>
          <w:rFonts w:hint="eastAsia" w:ascii="黑体" w:hAnsi="黑体" w:eastAsia="黑体"/>
          <w:b w:val="0"/>
          <w:color w:val="000000"/>
          <w:spacing w:val="4"/>
          <w:kern w:val="2"/>
          <w:sz w:val="21"/>
          <w:szCs w:val="21"/>
        </w:rPr>
        <w:t>示例</w:t>
      </w:r>
      <w:bookmarkEnd w:id="55"/>
      <w:bookmarkEnd w:id="56"/>
    </w:p>
    <w:p w14:paraId="30EC3317">
      <w:pPr>
        <w:rPr>
          <w:rFonts w:ascii="Times New Roman" w:hAnsi="Times New Roman"/>
          <w:color w:val="000000"/>
        </w:rPr>
      </w:pPr>
    </w:p>
    <w:p w14:paraId="7070BB84">
      <w:pPr>
        <w:rPr>
          <w:rFonts w:hint="eastAsia" w:ascii="黑体" w:hAnsi="黑体" w:eastAsia="黑体"/>
          <w:sz w:val="18"/>
          <w:szCs w:val="18"/>
        </w:rPr>
      </w:pPr>
      <w:r>
        <w:rPr>
          <w:rFonts w:hint="eastAsia" w:ascii="黑体" w:hAnsi="黑体" w:eastAsia="黑体"/>
          <w:sz w:val="18"/>
          <w:szCs w:val="18"/>
        </w:rPr>
        <w:t>示例：</w:t>
      </w:r>
    </w:p>
    <w:p w14:paraId="2FD6AB35">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hint="eastAsia" w:ascii="Times New Roman" w:hAnsi="Times New Roman"/>
          <w:b/>
          <w:bCs/>
          <w:color w:val="000000"/>
          <w:szCs w:val="21"/>
        </w:rPr>
        <w:t>前言</w:t>
      </w:r>
    </w:p>
    <w:p w14:paraId="5972CFDE">
      <w:pPr>
        <w:pBdr>
          <w:top w:val="single" w:color="auto" w:sz="4" w:space="1"/>
          <w:left w:val="single" w:color="auto" w:sz="4" w:space="4"/>
          <w:bottom w:val="single" w:color="auto" w:sz="4" w:space="1"/>
          <w:right w:val="single" w:color="auto" w:sz="4" w:space="4"/>
        </w:pBdr>
        <w:rPr>
          <w:rFonts w:ascii="Times New Roman" w:hAnsi="Times New Roman"/>
          <w:bCs/>
          <w:color w:val="000000"/>
          <w:szCs w:val="21"/>
        </w:rPr>
      </w:pPr>
      <w:r>
        <w:rPr>
          <w:rFonts w:hint="eastAsia" w:ascii="Times New Roman" w:hAnsi="Times New Roman"/>
          <w:bCs/>
          <w:color w:val="000000"/>
          <w:szCs w:val="21"/>
        </w:rPr>
        <w:t>简述工作背景、工作过程，核定站点及</w:t>
      </w:r>
      <w:r>
        <w:rPr>
          <w:rFonts w:ascii="Times New Roman" w:hAnsi="Times New Roman"/>
          <w:bCs/>
          <w:color w:val="000000"/>
          <w:szCs w:val="21"/>
        </w:rPr>
        <w:t>内容</w:t>
      </w:r>
      <w:r>
        <w:rPr>
          <w:rFonts w:hint="eastAsia" w:ascii="Times New Roman" w:hAnsi="Times New Roman"/>
          <w:bCs/>
          <w:color w:val="000000"/>
          <w:szCs w:val="21"/>
        </w:rPr>
        <w:t>，高程基面等。</w:t>
      </w:r>
    </w:p>
    <w:p w14:paraId="249D59A8">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一、基本情况</w:t>
      </w:r>
    </w:p>
    <w:p w14:paraId="43854BFC">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（一）自然地理</w:t>
      </w:r>
    </w:p>
    <w:p w14:paraId="6BC0E719">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核定站点所在流域、区域的地理位置、地形地貌、水文气象、河湖水系等。</w:t>
      </w:r>
    </w:p>
    <w:p w14:paraId="626EA124">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（二）社会经济</w:t>
      </w:r>
    </w:p>
    <w:p w14:paraId="4928D40B">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核定站点所在流域、区域的社会经济状况及其对防汛抗旱的需求。</w:t>
      </w:r>
    </w:p>
    <w:p w14:paraId="3E5B8E67">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（三）</w:t>
      </w:r>
      <w:r>
        <w:rPr>
          <w:rFonts w:hint="eastAsia" w:ascii="Times New Roman" w:hAnsi="Times New Roman"/>
          <w:b/>
          <w:bCs/>
          <w:color w:val="000000"/>
          <w:szCs w:val="21"/>
        </w:rPr>
        <w:t>水利</w:t>
      </w:r>
      <w:r>
        <w:rPr>
          <w:rFonts w:ascii="Times New Roman" w:hAnsi="Times New Roman"/>
          <w:b/>
          <w:bCs/>
          <w:color w:val="000000"/>
          <w:szCs w:val="21"/>
        </w:rPr>
        <w:t>工程</w:t>
      </w:r>
      <w:r>
        <w:rPr>
          <w:rFonts w:hint="eastAsia" w:ascii="Times New Roman" w:hAnsi="Times New Roman"/>
          <w:b/>
          <w:bCs/>
          <w:color w:val="000000"/>
          <w:szCs w:val="21"/>
        </w:rPr>
        <w:t>现状</w:t>
      </w:r>
    </w:p>
    <w:p w14:paraId="5972C82E">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核定站点所在流域、区域现状工程体系及防洪、供水能力，堤防现状及防洪能力</w:t>
      </w:r>
      <w:r>
        <w:rPr>
          <w:rFonts w:hint="eastAsia" w:ascii="Times New Roman" w:hAnsi="Times New Roman"/>
          <w:color w:val="000000"/>
          <w:szCs w:val="21"/>
        </w:rPr>
        <w:t>、基本参数，堤防的险工隐患及薄弱环节</w:t>
      </w:r>
      <w:r>
        <w:rPr>
          <w:rFonts w:ascii="Times New Roman" w:hAnsi="Times New Roman"/>
          <w:color w:val="000000"/>
          <w:szCs w:val="21"/>
        </w:rPr>
        <w:t>等。</w:t>
      </w:r>
    </w:p>
    <w:p w14:paraId="2376607C">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（四）水旱灾害概况</w:t>
      </w:r>
    </w:p>
    <w:p w14:paraId="0F602B60">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核定站点所在流域、区域水旱灾害情况，</w:t>
      </w:r>
      <w:r>
        <w:rPr>
          <w:rFonts w:hint="eastAsia" w:ascii="Times New Roman" w:hAnsi="Times New Roman"/>
          <w:color w:val="000000"/>
          <w:szCs w:val="21"/>
        </w:rPr>
        <w:t>历史</w:t>
      </w:r>
      <w:r>
        <w:rPr>
          <w:rFonts w:ascii="Times New Roman" w:hAnsi="Times New Roman"/>
          <w:color w:val="000000"/>
          <w:szCs w:val="21"/>
        </w:rPr>
        <w:t>洪</w:t>
      </w:r>
      <w:r>
        <w:rPr>
          <w:rFonts w:hint="eastAsia" w:ascii="Times New Roman" w:hAnsi="Times New Roman"/>
          <w:color w:val="000000"/>
          <w:szCs w:val="21"/>
        </w:rPr>
        <w:t>、</w:t>
      </w:r>
      <w:r>
        <w:rPr>
          <w:rFonts w:ascii="Times New Roman" w:hAnsi="Times New Roman"/>
          <w:color w:val="000000"/>
          <w:szCs w:val="21"/>
        </w:rPr>
        <w:t>枯</w:t>
      </w:r>
      <w:r>
        <w:rPr>
          <w:rFonts w:hint="eastAsia" w:ascii="Times New Roman" w:hAnsi="Times New Roman"/>
          <w:color w:val="000000"/>
          <w:szCs w:val="21"/>
        </w:rPr>
        <w:t>水位情况，</w:t>
      </w:r>
      <w:r>
        <w:rPr>
          <w:rFonts w:ascii="Times New Roman" w:hAnsi="Times New Roman"/>
          <w:color w:val="000000"/>
          <w:szCs w:val="21"/>
        </w:rPr>
        <w:t>堤防历史出险情况。</w:t>
      </w:r>
    </w:p>
    <w:p w14:paraId="776CA96F">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（五）相关规划及预案</w:t>
      </w:r>
      <w:r>
        <w:rPr>
          <w:rFonts w:hint="eastAsia" w:ascii="Times New Roman" w:hAnsi="Times New Roman"/>
          <w:b/>
          <w:bCs/>
          <w:color w:val="000000"/>
          <w:szCs w:val="21"/>
        </w:rPr>
        <w:t>等</w:t>
      </w:r>
    </w:p>
    <w:p w14:paraId="1EAD03EF">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相关流域、区域防洪规划、抗旱规划、水资源综合规划等，现行防汛抗旱应急预案、水工程调度方案、防御洪水方案、超标准洪水防御预案</w:t>
      </w:r>
      <w:r>
        <w:rPr>
          <w:rFonts w:hint="eastAsia" w:ascii="Times New Roman" w:hAnsi="Times New Roman"/>
          <w:color w:val="000000"/>
          <w:szCs w:val="21"/>
        </w:rPr>
        <w:t>，预警发布管理办法，</w:t>
      </w:r>
      <w:r>
        <w:rPr>
          <w:rFonts w:ascii="Times New Roman" w:hAnsi="Times New Roman"/>
          <w:color w:val="000000"/>
          <w:szCs w:val="21"/>
        </w:rPr>
        <w:t>防汛抗旱</w:t>
      </w:r>
      <w:r>
        <w:rPr>
          <w:rFonts w:hint="eastAsia" w:ascii="Times New Roman" w:hAnsi="Times New Roman"/>
          <w:color w:val="000000"/>
          <w:szCs w:val="21"/>
        </w:rPr>
        <w:t>工作制度</w:t>
      </w:r>
      <w:r>
        <w:rPr>
          <w:rFonts w:ascii="Times New Roman" w:hAnsi="Times New Roman"/>
          <w:color w:val="000000"/>
          <w:szCs w:val="21"/>
        </w:rPr>
        <w:t>等。</w:t>
      </w:r>
    </w:p>
    <w:p w14:paraId="6E7C9DFF">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二、核定原则与技术路线</w:t>
      </w:r>
    </w:p>
    <w:p w14:paraId="3DC625FD">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（一）特征水位定义</w:t>
      </w:r>
    </w:p>
    <w:p w14:paraId="75AC398B">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警戒水位、保证水位、旱限（警）水位的定义。</w:t>
      </w:r>
    </w:p>
    <w:p w14:paraId="6B287325">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（二）核定原则</w:t>
      </w:r>
    </w:p>
    <w:p w14:paraId="09D630C8">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防汛抗旱特征水位核定的基本原则。</w:t>
      </w:r>
    </w:p>
    <w:p w14:paraId="791A1024">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color w:val="000000"/>
          <w:szCs w:val="21"/>
        </w:rPr>
      </w:pPr>
      <w:r>
        <w:rPr>
          <w:rFonts w:hint="eastAsia" w:ascii="Times New Roman" w:hAnsi="Times New Roman"/>
          <w:b/>
          <w:color w:val="000000"/>
          <w:szCs w:val="21"/>
        </w:rPr>
        <w:t>（三）核定站点及内容</w:t>
      </w:r>
    </w:p>
    <w:p w14:paraId="77EA2AB6">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hint="eastAsia" w:ascii="Times New Roman" w:hAnsi="Times New Roman"/>
          <w:color w:val="000000"/>
          <w:szCs w:val="21"/>
        </w:rPr>
        <w:t>开展防汛</w:t>
      </w:r>
      <w:r>
        <w:rPr>
          <w:rFonts w:ascii="Times New Roman" w:hAnsi="Times New Roman"/>
          <w:color w:val="000000"/>
          <w:szCs w:val="21"/>
        </w:rPr>
        <w:t>抗旱特征水位核定的站点及</w:t>
      </w:r>
      <w:r>
        <w:rPr>
          <w:rFonts w:hint="eastAsia" w:ascii="Times New Roman" w:hAnsi="Times New Roman"/>
          <w:color w:val="000000"/>
          <w:szCs w:val="21"/>
        </w:rPr>
        <w:t>核定</w:t>
      </w:r>
      <w:r>
        <w:rPr>
          <w:rFonts w:ascii="Times New Roman" w:hAnsi="Times New Roman"/>
          <w:color w:val="000000"/>
          <w:szCs w:val="21"/>
        </w:rPr>
        <w:t>内容。</w:t>
      </w:r>
    </w:p>
    <w:p w14:paraId="6D758F36">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w:t>
      </w:r>
      <w:r>
        <w:rPr>
          <w:rFonts w:hint="eastAsia" w:ascii="Times New Roman" w:hAnsi="Times New Roman"/>
          <w:b/>
          <w:bCs/>
          <w:color w:val="000000"/>
          <w:szCs w:val="21"/>
        </w:rPr>
        <w:t>四</w:t>
      </w:r>
      <w:r>
        <w:rPr>
          <w:rFonts w:ascii="Times New Roman" w:hAnsi="Times New Roman"/>
          <w:b/>
          <w:bCs/>
          <w:color w:val="000000"/>
          <w:szCs w:val="21"/>
        </w:rPr>
        <w:t>）技术路线</w:t>
      </w:r>
    </w:p>
    <w:p w14:paraId="5203F7A3">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防汛抗旱特征水位核定的技术路线</w:t>
      </w:r>
      <w:r>
        <w:rPr>
          <w:rFonts w:hint="eastAsia" w:ascii="Times New Roman" w:hAnsi="Times New Roman"/>
          <w:color w:val="000000"/>
          <w:szCs w:val="21"/>
        </w:rPr>
        <w:t>，以框图表示</w:t>
      </w:r>
      <w:r>
        <w:rPr>
          <w:rFonts w:ascii="Times New Roman" w:hAnsi="Times New Roman"/>
          <w:color w:val="000000"/>
          <w:szCs w:val="21"/>
        </w:rPr>
        <w:t>。</w:t>
      </w:r>
    </w:p>
    <w:p w14:paraId="7D400D24">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三、水文分析</w:t>
      </w:r>
      <w:r>
        <w:rPr>
          <w:rFonts w:hint="eastAsia" w:ascii="Times New Roman" w:hAnsi="Times New Roman"/>
          <w:b/>
          <w:bCs/>
          <w:color w:val="000000"/>
          <w:szCs w:val="21"/>
        </w:rPr>
        <w:t>与</w:t>
      </w:r>
      <w:r>
        <w:rPr>
          <w:rFonts w:ascii="Times New Roman" w:hAnsi="Times New Roman"/>
          <w:b/>
          <w:bCs/>
          <w:color w:val="000000"/>
          <w:szCs w:val="21"/>
        </w:rPr>
        <w:t>计算</w:t>
      </w:r>
    </w:p>
    <w:p w14:paraId="1D45119F">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（一）实测水位分析</w:t>
      </w:r>
    </w:p>
    <w:p w14:paraId="7DC1B7D5">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水文测站及资料情况，</w:t>
      </w:r>
      <w:r>
        <w:rPr>
          <w:rFonts w:hint="eastAsia" w:ascii="Times New Roman" w:hAnsi="Times New Roman"/>
          <w:color w:val="000000"/>
        </w:rPr>
        <w:t>可靠性、一致性、代表</w:t>
      </w:r>
      <w:r>
        <w:rPr>
          <w:rFonts w:hint="eastAsia" w:ascii="Times New Roman" w:hAnsi="Times New Roman"/>
          <w:color w:val="000000"/>
          <w:szCs w:val="21"/>
        </w:rPr>
        <w:t>性分析，</w:t>
      </w:r>
      <w:r>
        <w:rPr>
          <w:rFonts w:ascii="Times New Roman" w:hAnsi="Times New Roman"/>
          <w:color w:val="000000"/>
          <w:szCs w:val="21"/>
        </w:rPr>
        <w:t>年最高和最低水位频率分析、</w:t>
      </w:r>
      <w:r>
        <w:rPr>
          <w:rFonts w:hint="eastAsia" w:ascii="Times New Roman" w:hAnsi="Times New Roman"/>
          <w:color w:val="000000"/>
          <w:szCs w:val="21"/>
        </w:rPr>
        <w:t>综合历时保证率水位分析、</w:t>
      </w:r>
      <w:r>
        <w:rPr>
          <w:rFonts w:ascii="Times New Roman" w:hAnsi="Times New Roman"/>
          <w:color w:val="000000"/>
          <w:szCs w:val="21"/>
        </w:rPr>
        <w:t>水位距平</w:t>
      </w:r>
      <w:r>
        <w:rPr>
          <w:rFonts w:hint="eastAsia" w:ascii="Times New Roman" w:hAnsi="Times New Roman"/>
          <w:color w:val="000000"/>
          <w:szCs w:val="21"/>
        </w:rPr>
        <w:t>及累积距平</w:t>
      </w:r>
      <w:r>
        <w:rPr>
          <w:rFonts w:ascii="Times New Roman" w:hAnsi="Times New Roman"/>
          <w:color w:val="000000"/>
          <w:szCs w:val="21"/>
        </w:rPr>
        <w:t>分析</w:t>
      </w:r>
      <w:r>
        <w:rPr>
          <w:rFonts w:hint="eastAsia" w:ascii="Times New Roman" w:hAnsi="Times New Roman"/>
          <w:color w:val="000000"/>
          <w:szCs w:val="21"/>
        </w:rPr>
        <w:t>、</w:t>
      </w:r>
      <w:r>
        <w:rPr>
          <w:rFonts w:ascii="Times New Roman" w:hAnsi="Times New Roman"/>
          <w:color w:val="000000"/>
          <w:szCs w:val="21"/>
        </w:rPr>
        <w:t>超不同等级水位天数统计等。</w:t>
      </w:r>
    </w:p>
    <w:p w14:paraId="0BB653A1">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（二）数学模型分析</w:t>
      </w:r>
      <w:r>
        <w:rPr>
          <w:rFonts w:hint="eastAsia" w:ascii="Times New Roman" w:hAnsi="Times New Roman"/>
          <w:b/>
          <w:bCs/>
          <w:color w:val="000000"/>
          <w:szCs w:val="21"/>
        </w:rPr>
        <w:t>（可选）</w:t>
      </w:r>
    </w:p>
    <w:p w14:paraId="6CB2F4AB">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数学模型概况，设计降雨及典型年</w:t>
      </w:r>
      <w:r>
        <w:rPr>
          <w:rFonts w:hint="eastAsia" w:ascii="Times New Roman" w:hAnsi="Times New Roman"/>
          <w:color w:val="000000"/>
          <w:szCs w:val="21"/>
        </w:rPr>
        <w:t>雨水情</w:t>
      </w:r>
      <w:r>
        <w:rPr>
          <w:rFonts w:ascii="Times New Roman" w:hAnsi="Times New Roman"/>
          <w:color w:val="000000"/>
          <w:szCs w:val="21"/>
        </w:rPr>
        <w:t>，计算边界条件，模型计算水位等。</w:t>
      </w:r>
    </w:p>
    <w:p w14:paraId="28613244">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四、警戒水位核定</w:t>
      </w:r>
    </w:p>
    <w:p w14:paraId="33D23525">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（一）现行警戒水位</w:t>
      </w:r>
    </w:p>
    <w:p w14:paraId="224D8923">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核定站点现行警戒水位及其重现期。</w:t>
      </w:r>
    </w:p>
    <w:p w14:paraId="1392BC24">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（二）警戒水位分析</w:t>
      </w:r>
    </w:p>
    <w:p w14:paraId="7F485BEF">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hint="eastAsia" w:ascii="Times New Roman" w:hAnsi="Times New Roman"/>
          <w:color w:val="000000"/>
          <w:szCs w:val="21"/>
        </w:rPr>
        <w:t>综合</w:t>
      </w:r>
      <w:r>
        <w:rPr>
          <w:rFonts w:ascii="Times New Roman" w:hAnsi="Times New Roman"/>
          <w:color w:val="000000"/>
          <w:szCs w:val="21"/>
        </w:rPr>
        <w:t>年最高水位频率分析、超不同等级水位天数统计、数学模型计算</w:t>
      </w:r>
      <w:r>
        <w:rPr>
          <w:rFonts w:hint="eastAsia" w:ascii="Times New Roman" w:hAnsi="Times New Roman"/>
          <w:color w:val="000000"/>
          <w:szCs w:val="21"/>
        </w:rPr>
        <w:t>（可选）等成果，及</w:t>
      </w:r>
      <w:r>
        <w:rPr>
          <w:rFonts w:ascii="Times New Roman" w:hAnsi="Times New Roman"/>
          <w:color w:val="000000"/>
          <w:szCs w:val="21"/>
        </w:rPr>
        <w:t>堤防现状防洪能力</w:t>
      </w:r>
      <w:r>
        <w:rPr>
          <w:rFonts w:hint="eastAsia" w:ascii="Times New Roman" w:hAnsi="Times New Roman"/>
          <w:color w:val="000000"/>
          <w:szCs w:val="21"/>
        </w:rPr>
        <w:t>，</w:t>
      </w:r>
      <w:r>
        <w:rPr>
          <w:rFonts w:ascii="Times New Roman" w:hAnsi="Times New Roman"/>
          <w:color w:val="000000"/>
          <w:szCs w:val="21"/>
        </w:rPr>
        <w:t>并考虑与相关调度方案、应急预案、防汛工作制度等</w:t>
      </w:r>
      <w:r>
        <w:rPr>
          <w:rFonts w:hint="eastAsia" w:ascii="Times New Roman" w:hAnsi="Times New Roman"/>
          <w:color w:val="000000"/>
          <w:szCs w:val="21"/>
        </w:rPr>
        <w:t>衔接</w:t>
      </w:r>
      <w:r>
        <w:rPr>
          <w:rFonts w:ascii="Times New Roman" w:hAnsi="Times New Roman"/>
          <w:color w:val="000000"/>
          <w:szCs w:val="21"/>
        </w:rPr>
        <w:t>要求，</w:t>
      </w:r>
      <w:r>
        <w:rPr>
          <w:rFonts w:hint="eastAsia" w:ascii="Times New Roman" w:hAnsi="Times New Roman"/>
          <w:color w:val="000000"/>
          <w:szCs w:val="21"/>
        </w:rPr>
        <w:t>论证拟</w:t>
      </w:r>
      <w:r>
        <w:rPr>
          <w:rFonts w:ascii="Times New Roman" w:hAnsi="Times New Roman"/>
          <w:color w:val="000000"/>
          <w:szCs w:val="21"/>
        </w:rPr>
        <w:t>定警戒水位。</w:t>
      </w:r>
      <w:r>
        <w:rPr>
          <w:rFonts w:ascii="Times New Roman" w:hAnsi="Times New Roman"/>
          <w:color w:val="000000"/>
        </w:rPr>
        <w:t>分析</w:t>
      </w:r>
      <w:r>
        <w:rPr>
          <w:rFonts w:hint="eastAsia" w:ascii="Times New Roman" w:hAnsi="Times New Roman"/>
          <w:color w:val="000000"/>
        </w:rPr>
        <w:t>警戒水位核定</w:t>
      </w:r>
      <w:r>
        <w:rPr>
          <w:rFonts w:ascii="Times New Roman" w:hAnsi="Times New Roman"/>
          <w:color w:val="000000"/>
        </w:rPr>
        <w:t>成果</w:t>
      </w:r>
      <w:r>
        <w:rPr>
          <w:rFonts w:hint="eastAsia" w:ascii="Times New Roman" w:hAnsi="Times New Roman"/>
          <w:color w:val="000000"/>
        </w:rPr>
        <w:t>的</w:t>
      </w:r>
      <w:r>
        <w:rPr>
          <w:rFonts w:ascii="Times New Roman" w:hAnsi="Times New Roman"/>
          <w:color w:val="000000"/>
        </w:rPr>
        <w:t>合理性</w:t>
      </w:r>
      <w:r>
        <w:rPr>
          <w:rFonts w:hint="eastAsia" w:ascii="Times New Roman" w:hAnsi="Times New Roman"/>
          <w:color w:val="000000"/>
        </w:rPr>
        <w:t>。</w:t>
      </w:r>
    </w:p>
    <w:p w14:paraId="15FBDC22">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（三）核定</w:t>
      </w:r>
      <w:r>
        <w:rPr>
          <w:rFonts w:hint="eastAsia" w:ascii="Times New Roman" w:hAnsi="Times New Roman"/>
          <w:b/>
          <w:bCs/>
          <w:color w:val="000000"/>
          <w:szCs w:val="21"/>
        </w:rPr>
        <w:t>成果</w:t>
      </w:r>
    </w:p>
    <w:p w14:paraId="7A38C503">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警戒水位核定结果。</w:t>
      </w:r>
    </w:p>
    <w:p w14:paraId="6EEAFAEC">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五、保证水位核定</w:t>
      </w:r>
    </w:p>
    <w:p w14:paraId="47A9333C">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（一）现行保证水位</w:t>
      </w:r>
    </w:p>
    <w:p w14:paraId="411F563F">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核定站点现行保证水位及其重现期。</w:t>
      </w:r>
    </w:p>
    <w:p w14:paraId="6A3C735E">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（二）保证水位分析</w:t>
      </w:r>
    </w:p>
    <w:p w14:paraId="2C22DE1A">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hint="eastAsia" w:ascii="Times New Roman" w:hAnsi="Times New Roman"/>
          <w:color w:val="000000"/>
          <w:szCs w:val="21"/>
        </w:rPr>
        <w:t>综合</w:t>
      </w:r>
      <w:r>
        <w:rPr>
          <w:rFonts w:ascii="Times New Roman" w:hAnsi="Times New Roman"/>
          <w:color w:val="000000"/>
          <w:szCs w:val="21"/>
        </w:rPr>
        <w:t>年最高水位频率分析、数学模型计算</w:t>
      </w:r>
      <w:r>
        <w:rPr>
          <w:rFonts w:hint="eastAsia" w:ascii="Times New Roman" w:hAnsi="Times New Roman"/>
          <w:color w:val="000000"/>
          <w:szCs w:val="21"/>
        </w:rPr>
        <w:t>（可选）等成果，及</w:t>
      </w:r>
      <w:r>
        <w:rPr>
          <w:rFonts w:ascii="Times New Roman" w:hAnsi="Times New Roman"/>
          <w:color w:val="000000"/>
          <w:szCs w:val="21"/>
        </w:rPr>
        <w:t>相关规划设计洪水位</w:t>
      </w:r>
      <w:r>
        <w:rPr>
          <w:rFonts w:hint="eastAsia" w:ascii="Times New Roman" w:hAnsi="Times New Roman"/>
          <w:color w:val="000000"/>
          <w:szCs w:val="21"/>
        </w:rPr>
        <w:t>、</w:t>
      </w:r>
      <w:r>
        <w:rPr>
          <w:rFonts w:ascii="Times New Roman" w:hAnsi="Times New Roman"/>
          <w:color w:val="000000"/>
          <w:szCs w:val="21"/>
        </w:rPr>
        <w:t>堤防现状防洪能力及历史</w:t>
      </w:r>
      <w:r>
        <w:rPr>
          <w:rFonts w:hint="eastAsia" w:ascii="Times New Roman" w:hAnsi="Times New Roman"/>
          <w:color w:val="000000"/>
          <w:szCs w:val="21"/>
        </w:rPr>
        <w:t>洪水防御</w:t>
      </w:r>
      <w:r>
        <w:rPr>
          <w:rFonts w:ascii="Times New Roman" w:hAnsi="Times New Roman"/>
          <w:color w:val="000000"/>
          <w:szCs w:val="21"/>
        </w:rPr>
        <w:t>情况等</w:t>
      </w:r>
      <w:r>
        <w:rPr>
          <w:rFonts w:hint="eastAsia" w:ascii="Times New Roman" w:hAnsi="Times New Roman"/>
          <w:color w:val="000000"/>
          <w:szCs w:val="21"/>
        </w:rPr>
        <w:t>，论证拟</w:t>
      </w:r>
      <w:r>
        <w:rPr>
          <w:rFonts w:ascii="Times New Roman" w:hAnsi="Times New Roman"/>
          <w:color w:val="000000"/>
          <w:szCs w:val="21"/>
        </w:rPr>
        <w:t>定保证水位。</w:t>
      </w:r>
      <w:r>
        <w:rPr>
          <w:rFonts w:hint="eastAsia" w:ascii="Times New Roman" w:hAnsi="Times New Roman"/>
          <w:color w:val="000000"/>
          <w:szCs w:val="21"/>
        </w:rPr>
        <w:t>分析保证水位核定</w:t>
      </w:r>
      <w:r>
        <w:rPr>
          <w:rFonts w:ascii="Times New Roman" w:hAnsi="Times New Roman"/>
          <w:color w:val="000000"/>
          <w:szCs w:val="21"/>
        </w:rPr>
        <w:t>成果</w:t>
      </w:r>
      <w:r>
        <w:rPr>
          <w:rFonts w:hint="eastAsia" w:ascii="Times New Roman" w:hAnsi="Times New Roman"/>
          <w:color w:val="000000"/>
          <w:szCs w:val="21"/>
        </w:rPr>
        <w:t>的合理性。</w:t>
      </w:r>
    </w:p>
    <w:p w14:paraId="50AF5613">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（三）核定</w:t>
      </w:r>
      <w:r>
        <w:rPr>
          <w:rFonts w:hint="eastAsia" w:ascii="Times New Roman" w:hAnsi="Times New Roman"/>
          <w:b/>
          <w:bCs/>
          <w:color w:val="000000"/>
          <w:szCs w:val="21"/>
        </w:rPr>
        <w:t>成果</w:t>
      </w:r>
    </w:p>
    <w:p w14:paraId="7185ED71">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保证水位核定结果。</w:t>
      </w:r>
    </w:p>
    <w:p w14:paraId="39F30063">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六、旱限（警）水位核定</w:t>
      </w:r>
    </w:p>
    <w:p w14:paraId="3A62A504">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（一）现行旱限（警）水位</w:t>
      </w:r>
    </w:p>
    <w:p w14:paraId="75615621">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核定站点现行旱限（警）水位及其保证率。</w:t>
      </w:r>
    </w:p>
    <w:p w14:paraId="32321B5D">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（二）旱限（警）水位分析</w:t>
      </w:r>
    </w:p>
    <w:p w14:paraId="47507D80">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综合</w:t>
      </w:r>
      <w:r>
        <w:rPr>
          <w:rFonts w:hint="eastAsia" w:ascii="Times New Roman" w:hAnsi="Times New Roman"/>
          <w:color w:val="000000"/>
          <w:szCs w:val="21"/>
        </w:rPr>
        <w:t>年最低水位频率分析和综合历时保证率水位分析成果，以及</w:t>
      </w:r>
      <w:r>
        <w:rPr>
          <w:rFonts w:ascii="Times New Roman" w:hAnsi="Times New Roman"/>
          <w:color w:val="000000"/>
          <w:szCs w:val="21"/>
        </w:rPr>
        <w:t>取水口高程</w:t>
      </w:r>
      <w:r>
        <w:rPr>
          <w:rFonts w:hint="eastAsia" w:ascii="Times New Roman" w:hAnsi="Times New Roman"/>
          <w:color w:val="000000"/>
          <w:szCs w:val="21"/>
        </w:rPr>
        <w:t>和泵站运行最低水位要求</w:t>
      </w:r>
      <w:r>
        <w:rPr>
          <w:rFonts w:ascii="Times New Roman" w:hAnsi="Times New Roman"/>
          <w:color w:val="000000"/>
          <w:szCs w:val="21"/>
        </w:rPr>
        <w:t>、生态水位、最低通航水位等</w:t>
      </w:r>
      <w:r>
        <w:rPr>
          <w:rFonts w:hint="eastAsia" w:ascii="Times New Roman" w:hAnsi="Times New Roman"/>
          <w:color w:val="000000"/>
          <w:szCs w:val="21"/>
        </w:rPr>
        <w:t>需求</w:t>
      </w:r>
      <w:r>
        <w:rPr>
          <w:rFonts w:ascii="Times New Roman" w:hAnsi="Times New Roman"/>
          <w:color w:val="000000"/>
          <w:szCs w:val="21"/>
        </w:rPr>
        <w:t>，</w:t>
      </w:r>
      <w:r>
        <w:rPr>
          <w:rFonts w:hint="eastAsia" w:ascii="Times New Roman" w:hAnsi="Times New Roman"/>
          <w:color w:val="000000"/>
          <w:szCs w:val="21"/>
        </w:rPr>
        <w:t>论证拟定</w:t>
      </w:r>
      <w:r>
        <w:rPr>
          <w:rFonts w:ascii="Times New Roman" w:hAnsi="Times New Roman"/>
          <w:color w:val="000000"/>
          <w:szCs w:val="21"/>
        </w:rPr>
        <w:t>旱限（警）水位。</w:t>
      </w:r>
      <w:r>
        <w:rPr>
          <w:rFonts w:hint="eastAsia" w:ascii="Times New Roman" w:hAnsi="Times New Roman"/>
          <w:color w:val="000000"/>
          <w:szCs w:val="21"/>
        </w:rPr>
        <w:t>分析</w:t>
      </w:r>
      <w:r>
        <w:rPr>
          <w:rFonts w:ascii="Times New Roman" w:hAnsi="Times New Roman"/>
          <w:color w:val="000000"/>
          <w:szCs w:val="21"/>
        </w:rPr>
        <w:t>旱限（</w:t>
      </w:r>
      <w:r>
        <w:rPr>
          <w:rFonts w:hint="eastAsia" w:ascii="Times New Roman" w:hAnsi="Times New Roman"/>
          <w:color w:val="000000"/>
          <w:szCs w:val="21"/>
        </w:rPr>
        <w:t>警</w:t>
      </w:r>
      <w:r>
        <w:rPr>
          <w:rFonts w:ascii="Times New Roman" w:hAnsi="Times New Roman"/>
          <w:color w:val="000000"/>
          <w:szCs w:val="21"/>
        </w:rPr>
        <w:t>）</w:t>
      </w:r>
      <w:r>
        <w:rPr>
          <w:rFonts w:hint="eastAsia" w:ascii="Times New Roman" w:hAnsi="Times New Roman"/>
          <w:color w:val="000000"/>
          <w:szCs w:val="21"/>
        </w:rPr>
        <w:t>水位</w:t>
      </w:r>
      <w:r>
        <w:rPr>
          <w:rFonts w:ascii="Times New Roman" w:hAnsi="Times New Roman"/>
          <w:color w:val="000000"/>
          <w:szCs w:val="21"/>
        </w:rPr>
        <w:t>的合理性。</w:t>
      </w:r>
    </w:p>
    <w:p w14:paraId="75EB729C">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（三）核定结果</w:t>
      </w:r>
    </w:p>
    <w:p w14:paraId="6498C614">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旱限（警）水位核定结果。</w:t>
      </w:r>
    </w:p>
    <w:p w14:paraId="53F3CD66">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七、结论与建议</w:t>
      </w:r>
    </w:p>
    <w:p w14:paraId="4B1B9D9E">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b/>
          <w:bCs/>
          <w:color w:val="000000"/>
          <w:szCs w:val="21"/>
        </w:rPr>
      </w:pPr>
      <w:r>
        <w:rPr>
          <w:rFonts w:ascii="Times New Roman" w:hAnsi="Times New Roman"/>
          <w:b/>
          <w:bCs/>
          <w:color w:val="000000"/>
          <w:szCs w:val="21"/>
        </w:rPr>
        <w:t>（一）结论</w:t>
      </w:r>
    </w:p>
    <w:p w14:paraId="7D7A8EE3">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警戒水位、保证水位、旱限（警）水位核定成果</w:t>
      </w:r>
      <w:r>
        <w:rPr>
          <w:rFonts w:hint="eastAsia" w:ascii="Times New Roman" w:hAnsi="Times New Roman"/>
          <w:color w:val="000000"/>
          <w:szCs w:val="21"/>
        </w:rPr>
        <w:t>总结。</w:t>
      </w:r>
    </w:p>
    <w:p w14:paraId="61C88828">
      <w:pPr>
        <w:pBdr>
          <w:top w:val="single" w:color="auto" w:sz="4" w:space="1"/>
          <w:left w:val="single" w:color="auto" w:sz="4" w:space="4"/>
          <w:bottom w:val="single" w:color="auto" w:sz="4" w:space="1"/>
          <w:right w:val="single" w:color="auto" w:sz="4" w:space="4"/>
        </w:pBdr>
        <w:ind w:firstLine="422" w:firstLineChars="200"/>
        <w:rPr>
          <w:rFonts w:ascii="Times New Roman" w:hAnsi="Times New Roman"/>
          <w:color w:val="000000"/>
          <w:szCs w:val="21"/>
        </w:rPr>
      </w:pPr>
      <w:r>
        <w:rPr>
          <w:rFonts w:ascii="Times New Roman" w:hAnsi="Times New Roman"/>
          <w:b/>
          <w:bCs/>
          <w:color w:val="000000"/>
          <w:szCs w:val="21"/>
        </w:rPr>
        <w:t>（二）建议</w:t>
      </w:r>
    </w:p>
    <w:p w14:paraId="651C63BC">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ascii="Times New Roman" w:hAnsi="Times New Roman"/>
          <w:color w:val="000000"/>
          <w:szCs w:val="21"/>
        </w:rPr>
        <w:t>相关工作建议</w:t>
      </w:r>
      <w:r>
        <w:rPr>
          <w:rFonts w:hint="eastAsia" w:ascii="Times New Roman" w:hAnsi="Times New Roman"/>
          <w:color w:val="000000"/>
          <w:szCs w:val="21"/>
        </w:rPr>
        <w:t>。</w:t>
      </w:r>
    </w:p>
    <w:p w14:paraId="0D2B1125">
      <w:pPr>
        <w:pBdr>
          <w:top w:val="single" w:color="auto" w:sz="4" w:space="1"/>
          <w:left w:val="single" w:color="auto" w:sz="4" w:space="4"/>
          <w:bottom w:val="single" w:color="auto" w:sz="4" w:space="1"/>
          <w:right w:val="single" w:color="auto" w:sz="4" w:space="4"/>
        </w:pBdr>
        <w:rPr>
          <w:rFonts w:ascii="Times New Roman" w:hAnsi="Times New Roman"/>
          <w:b/>
          <w:bCs/>
          <w:color w:val="000000"/>
          <w:szCs w:val="21"/>
        </w:rPr>
      </w:pPr>
      <w:r>
        <w:rPr>
          <w:rFonts w:ascii="Times New Roman" w:hAnsi="Times New Roman"/>
          <w:b/>
          <w:bCs/>
          <w:color w:val="000000"/>
          <w:szCs w:val="21"/>
        </w:rPr>
        <w:t>八、附件</w:t>
      </w:r>
    </w:p>
    <w:p w14:paraId="483D76DB">
      <w:pPr>
        <w:pBdr>
          <w:top w:val="single" w:color="auto" w:sz="4" w:space="1"/>
          <w:left w:val="single" w:color="auto" w:sz="4" w:space="4"/>
          <w:bottom w:val="single" w:color="auto" w:sz="4" w:space="1"/>
          <w:right w:val="single" w:color="auto" w:sz="4" w:space="4"/>
        </w:pBdr>
        <w:ind w:firstLine="420" w:firstLineChars="200"/>
        <w:rPr>
          <w:rFonts w:ascii="Times New Roman" w:hAnsi="Times New Roman"/>
          <w:color w:val="000000"/>
          <w:szCs w:val="21"/>
        </w:rPr>
      </w:pPr>
      <w:r>
        <w:rPr>
          <w:rFonts w:hint="eastAsia" w:ascii="Times New Roman" w:hAnsi="Times New Roman"/>
          <w:color w:val="000000"/>
          <w:szCs w:val="21"/>
        </w:rPr>
        <w:t>水位</w:t>
      </w:r>
      <w:r>
        <w:rPr>
          <w:rFonts w:ascii="Times New Roman" w:hAnsi="Times New Roman"/>
          <w:color w:val="000000"/>
          <w:szCs w:val="21"/>
        </w:rPr>
        <w:t>站基面改正</w:t>
      </w:r>
      <w:r>
        <w:rPr>
          <w:rFonts w:hint="eastAsia" w:ascii="Times New Roman" w:hAnsi="Times New Roman"/>
          <w:color w:val="000000"/>
          <w:szCs w:val="21"/>
        </w:rPr>
        <w:t>与</w:t>
      </w:r>
      <w:r>
        <w:rPr>
          <w:rFonts w:ascii="Times New Roman" w:hAnsi="Times New Roman"/>
          <w:color w:val="000000"/>
          <w:szCs w:val="21"/>
        </w:rPr>
        <w:t>沉降修正值表、</w:t>
      </w:r>
      <w:r>
        <w:rPr>
          <w:rFonts w:hint="eastAsia" w:ascii="Times New Roman" w:hAnsi="Times New Roman"/>
          <w:color w:val="000000"/>
          <w:szCs w:val="21"/>
        </w:rPr>
        <w:t>水位</w:t>
      </w:r>
      <w:r>
        <w:rPr>
          <w:rFonts w:ascii="Times New Roman" w:hAnsi="Times New Roman"/>
          <w:color w:val="000000"/>
          <w:szCs w:val="21"/>
        </w:rPr>
        <w:t>频率曲线图</w:t>
      </w:r>
      <w:r>
        <w:rPr>
          <w:rFonts w:hint="eastAsia" w:ascii="Times New Roman" w:hAnsi="Times New Roman"/>
          <w:color w:val="000000"/>
          <w:szCs w:val="21"/>
        </w:rPr>
        <w:t>、</w:t>
      </w:r>
      <w:r>
        <w:rPr>
          <w:rFonts w:ascii="Times New Roman" w:hAnsi="Times New Roman"/>
          <w:color w:val="000000"/>
          <w:szCs w:val="21"/>
        </w:rPr>
        <w:t>水文站点分布图</w:t>
      </w:r>
      <w:r>
        <w:rPr>
          <w:rFonts w:hint="eastAsia" w:ascii="Times New Roman" w:hAnsi="Times New Roman"/>
          <w:color w:val="000000"/>
          <w:szCs w:val="21"/>
        </w:rPr>
        <w:t>、防洪或供水形势图</w:t>
      </w:r>
      <w:r>
        <w:rPr>
          <w:rFonts w:ascii="Times New Roman" w:hAnsi="Times New Roman"/>
          <w:color w:val="000000"/>
          <w:szCs w:val="21"/>
        </w:rPr>
        <w:t>等相关附表和附图。</w:t>
      </w:r>
    </w:p>
    <w:p w14:paraId="79059528">
      <w:pPr>
        <w:ind w:firstLine="420" w:firstLineChars="200"/>
        <w:rPr>
          <w:rFonts w:ascii="Times New Roman" w:hAnsi="Times New Roman"/>
          <w:color w:val="000000"/>
        </w:rPr>
      </w:pPr>
    </w:p>
    <w:p w14:paraId="6C91BCDD">
      <w:pPr>
        <w:ind w:firstLine="420" w:firstLineChars="200"/>
        <w:rPr>
          <w:rFonts w:ascii="Times New Roman" w:hAnsi="Times New Roman"/>
          <w:color w:val="000000"/>
        </w:rPr>
        <w:sectPr>
          <w:pgSz w:w="11906" w:h="16838"/>
          <w:pgMar w:top="1134" w:right="1418" w:bottom="567" w:left="1134" w:header="1418" w:footer="851" w:gutter="0"/>
          <w:cols w:space="720" w:num="1"/>
          <w:docGrid w:type="lines" w:linePitch="312" w:charSpace="0"/>
        </w:sectPr>
      </w:pPr>
    </w:p>
    <w:p w14:paraId="13E6ACDF">
      <w:pPr>
        <w:pStyle w:val="2"/>
        <w:keepLines w:val="0"/>
        <w:widowControl/>
        <w:adjustRightInd w:val="0"/>
        <w:spacing w:before="156" w:beforeLines="50" w:after="156" w:afterLines="50" w:line="360" w:lineRule="auto"/>
        <w:jc w:val="center"/>
        <w:textAlignment w:val="baseline"/>
        <w:rPr>
          <w:rFonts w:hint="eastAsia" w:ascii="黑体" w:hAnsi="黑体" w:eastAsia="黑体"/>
          <w:b w:val="0"/>
          <w:bCs w:val="0"/>
          <w:color w:val="000000"/>
          <w:spacing w:val="4"/>
          <w:kern w:val="2"/>
          <w:sz w:val="21"/>
          <w:szCs w:val="21"/>
        </w:rPr>
      </w:pPr>
      <w:bookmarkStart w:id="57" w:name="_Toc172290864"/>
      <w:r>
        <w:rPr>
          <w:rFonts w:hint="eastAsia" w:ascii="黑体" w:hAnsi="黑体" w:eastAsia="黑体"/>
          <w:b w:val="0"/>
          <w:bCs w:val="0"/>
          <w:color w:val="000000"/>
          <w:spacing w:val="4"/>
          <w:kern w:val="2"/>
          <w:sz w:val="21"/>
          <w:szCs w:val="21"/>
        </w:rPr>
        <w:t>参考文献</w:t>
      </w:r>
      <w:bookmarkEnd w:id="57"/>
    </w:p>
    <w:p w14:paraId="16CC03CC">
      <w:pPr>
        <w:ind w:firstLine="420" w:firstLineChars="200"/>
        <w:rPr>
          <w:rFonts w:ascii="Times New Roman" w:hAnsi="Times New Roman"/>
          <w:color w:val="000000"/>
        </w:rPr>
      </w:pPr>
      <w:r>
        <w:rPr>
          <w:rFonts w:hint="eastAsia" w:ascii="Times New Roman" w:hAnsi="Times New Roman"/>
          <w:color w:val="000000"/>
        </w:rPr>
        <w:t>［1］GB/T 1.1  标准化工作导则 第1部分：标准化文件的结构和起草规则</w:t>
      </w:r>
    </w:p>
    <w:p w14:paraId="2BBA68F3">
      <w:pPr>
        <w:ind w:firstLine="420" w:firstLineChars="200"/>
        <w:rPr>
          <w:rFonts w:ascii="Times New Roman" w:hAnsi="Times New Roman"/>
          <w:color w:val="000000"/>
        </w:rPr>
      </w:pPr>
      <w:r>
        <w:rPr>
          <w:rFonts w:hint="eastAsia" w:ascii="Times New Roman" w:hAnsi="Times New Roman"/>
          <w:color w:val="000000"/>
        </w:rPr>
        <w:t>［2］</w:t>
      </w:r>
      <w:r>
        <w:rPr>
          <w:rFonts w:ascii="Times New Roman" w:hAnsi="Times New Roman"/>
          <w:color w:val="000000"/>
        </w:rPr>
        <w:t>GB/T</w:t>
      </w:r>
      <w:r>
        <w:rPr>
          <w:rFonts w:hint="eastAsia" w:ascii="Times New Roman" w:hAnsi="Times New Roman"/>
          <w:color w:val="000000"/>
        </w:rPr>
        <w:t xml:space="preserve"> </w:t>
      </w:r>
      <w:r>
        <w:rPr>
          <w:rFonts w:ascii="Times New Roman" w:hAnsi="Times New Roman"/>
          <w:color w:val="000000"/>
        </w:rPr>
        <w:t>17839</w:t>
      </w:r>
      <w:r>
        <w:rPr>
          <w:rFonts w:hint="eastAsia" w:ascii="Times New Roman" w:hAnsi="Times New Roman"/>
          <w:color w:val="000000"/>
        </w:rPr>
        <w:t xml:space="preserve">  警戒潮位核定规范</w:t>
      </w:r>
    </w:p>
    <w:p w14:paraId="295902D4">
      <w:pPr>
        <w:ind w:firstLine="420" w:firstLineChars="200"/>
        <w:rPr>
          <w:rFonts w:ascii="Times New Roman" w:hAnsi="Times New Roman"/>
          <w:color w:val="000000"/>
        </w:rPr>
      </w:pPr>
      <w:r>
        <w:rPr>
          <w:rFonts w:hint="eastAsia" w:ascii="Times New Roman" w:hAnsi="Times New Roman"/>
          <w:color w:val="000000"/>
        </w:rPr>
        <w:t>［3］江苏省淮河流域河湖防汛特征水位核定技术指导意见</w:t>
      </w:r>
    </w:p>
    <w:p w14:paraId="56CE3C9B">
      <w:pPr>
        <w:ind w:firstLine="420" w:firstLineChars="200"/>
        <w:rPr>
          <w:rFonts w:ascii="Times New Roman" w:hAnsi="Times New Roman"/>
          <w:color w:val="000000"/>
        </w:rPr>
      </w:pPr>
      <w:r>
        <w:rPr>
          <w:rFonts w:hint="eastAsia" w:ascii="Times New Roman" w:hAnsi="Times New Roman"/>
          <w:color w:val="000000"/>
        </w:rPr>
        <w:t>［4］江苏省长江流域河湖防汛特征水位核定技术指导意见</w:t>
      </w:r>
    </w:p>
    <w:p w14:paraId="40F7EBFD">
      <w:pPr>
        <w:ind w:firstLine="420" w:firstLineChars="200"/>
        <w:rPr>
          <w:rFonts w:ascii="Times New Roman" w:hAnsi="Times New Roman"/>
          <w:color w:val="000000"/>
        </w:rPr>
      </w:pPr>
      <w:r>
        <w:rPr>
          <w:rFonts w:hint="eastAsia" w:ascii="Times New Roman" w:hAnsi="Times New Roman"/>
          <w:color w:val="000000"/>
        </w:rPr>
        <w:t>［5］江苏省太湖流域河湖防汛特征水位核定技术指导意见</w:t>
      </w:r>
    </w:p>
    <w:p w14:paraId="02250F0C">
      <w:pPr>
        <w:ind w:firstLine="420" w:firstLineChars="200"/>
        <w:rPr>
          <w:rFonts w:ascii="Times New Roman" w:hAnsi="Times New Roman"/>
          <w:color w:val="000000"/>
        </w:rPr>
      </w:pPr>
      <w:r>
        <w:rPr>
          <w:rFonts w:hint="eastAsia" w:ascii="Times New Roman" w:hAnsi="Times New Roman"/>
          <w:color w:val="000000"/>
        </w:rPr>
        <w:t>［6］江河湖库旱警水位（流量）管理规定（试行）</w:t>
      </w:r>
      <w:r>
        <w:rPr>
          <w:rFonts w:ascii="Times New Roman" w:hAnsi="Times New Roman"/>
          <w:b/>
          <w:color w:val="00000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1146175</wp:posOffset>
                </wp:positionV>
                <wp:extent cx="1440180" cy="0"/>
                <wp:effectExtent l="0" t="0" r="0" b="0"/>
                <wp:wrapNone/>
                <wp:docPr id="2"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top:90.25pt;height:0pt;width:113.4pt;mso-position-horizontal:center;mso-position-horizontal-relative:margin;z-index:251659264;mso-width-relative:page;mso-height-relative:page;" filled="f" stroked="t" coordsize="21600,21600" o:gfxdata="UEsDBAoAAAAAAIdO4kAAAAAAAAAAAAAAAAAEAAAAZHJzL1BLAwQUAAAACACHTuJAU+Cp+NQAAAAI&#10;AQAADwAAAGRycy9kb3ducmV2LnhtbE2PQUvDQBCF74L/YRnBi9jdBFpqzKaI4MGjbaHXaXZMotnZ&#10;kN00tb/eEQQ9znuPN+8rN2ffqxONsQtsIVsYUMR1cB03Fva7l/s1qJiQHfaBycIXRdhU11clFi7M&#10;/EanbWqUlHAs0EKb0lBoHeuWPMZFGIjFew+jxyTn2Gg34izlvte5MSvtsWP50OJAzy3Vn9vJW6A4&#10;LTPz9OCb/etlvjvkl4952Fl7e5OZR1CJzukvDD/zZTpUsukYJnZR9RYEJIm6NktQYuf5SkiOv4qu&#10;Sv0foPoGUEsDBBQAAAAIAIdO4kDehl5l9QEAAL4DAAAOAAAAZHJzL2Uyb0RvYy54bWytU81u1DAQ&#10;viPxDpbvbJJVi0q02R52VS4FVmp5AK/jJBaOxxp7N7svwQsgcQJO0FPvPA2Ux2Ds/aGUSw/kYNke&#10;f9/M981kcr7pDVsr9BpsxYtRzpmyEmpt24q/vb54dsaZD8LWwoBVFd8qz8+nT59MBleqMXRgaoWM&#10;SKwvB1fxLgRXZpmXneqFH4FTloINYC8CHbHNahQDsfcmG+f582wArB2CVN7T7XwX5HtGfAwhNI2W&#10;ag5y1SsbdqyojAgkyXfaeT5N1TaNkuFN03gVmKk4KQ1ppSS0X8Y1m05E2aJwnZb7EsRjSnigqRfa&#10;UtIj1VwEwVao/6HqtUTw0ISRhD7bCUmOkIoif+DNVSecSlrIau+Opvv/RytfrxfIdF3xMWdW9NTw&#10;uw+3P99/vrv59uPT7a/vH+P+6xc2jlYNzpeEmNkFRrFyY6/cJch3nlmYdcK2KpV8vXXEU0RE9hck&#10;HryjhMvhFdT0RqwCJN82DfaRkhxhm9Se7bE9ahOYpMvi5CQvzqhz8hDLRHkAOvThpYKexU3FfUCh&#10;2y7MwFoaAsAipRHrSx9iWaI8AGJWCxfamDQLxrKh4i9Ox6cJ4MHoOgbjM4/tcmaQrUWcpvQljRS5&#10;/wxhZetdEmP3FkTVO/+WUG8XeLCG2pqq2Y9gnJv754T+89tN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T4Kn41AAAAAgBAAAPAAAAAAAAAAEAIAAAACIAAABkcnMvZG93bnJldi54bWxQSwECFAAU&#10;AAAACACHTuJA3oZeZfUBAAC+AwAADgAAAAAAAAABACAAAAAjAQAAZHJzL2Uyb0RvYy54bWxQSwUG&#10;AAAAAAYABgBZAQAAigUAAAAA&#10;">
                <v:fill on="f" focussize="0,0"/>
                <v:stroke color="#000000" joinstyle="round"/>
                <v:imagedata o:title=""/>
                <o:lock v:ext="edit" aspectratio="f"/>
              </v:shape>
            </w:pict>
          </mc:Fallback>
        </mc:AlternateContent>
      </w:r>
    </w:p>
    <w:sectPr>
      <w:pgSz w:w="11906" w:h="16838"/>
      <w:pgMar w:top="1134" w:right="1418" w:bottom="567" w:left="1134" w:header="1418" w:footer="851"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AEF16">
    <w:pPr>
      <w:pStyle w:val="46"/>
      <w:rPr>
        <w:rStyle w:val="20"/>
      </w:rPr>
    </w:pPr>
    <w:r>
      <w:rPr>
        <w:rStyle w:val="20"/>
        <w:rFonts w:hint="eastAsia"/>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19581">
    <w:pPr>
      <w:pStyle w:val="11"/>
      <w:rPr>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II</w:t>
    </w:r>
    <w:r>
      <w:rPr>
        <w:rFonts w:ascii="宋体" w:hAnsi="宋体"/>
        <w:sz w:val="21"/>
        <w:szCs w:val="21"/>
      </w:rPr>
      <w:fldChar w:fldCharType="end"/>
    </w:r>
  </w:p>
  <w:p w14:paraId="75416880">
    <w:pPr>
      <w:pStyle w:val="11"/>
      <w:rPr>
        <w:rStyle w:val="20"/>
        <w:rFonts w:ascii="Calibri" w:hAnsi="Calibr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22DDA">
    <w:pPr>
      <w:pStyle w:val="11"/>
      <w:jc w:val="right"/>
      <w:rPr>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w:t>
    </w:r>
    <w:r>
      <w:rPr>
        <w:rFonts w:ascii="宋体" w:hAnsi="宋体"/>
        <w:sz w:val="21"/>
        <w:szCs w:val="21"/>
      </w:rPr>
      <w:fldChar w:fldCharType="end"/>
    </w:r>
  </w:p>
  <w:p w14:paraId="39B5D27F">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F5B52">
    <w:pPr>
      <w:pStyle w:val="11"/>
      <w:rPr>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II</w:t>
    </w:r>
    <w:r>
      <w:rPr>
        <w:rFonts w:ascii="宋体" w:hAnsi="宋体"/>
        <w:sz w:val="21"/>
        <w:szCs w:val="21"/>
      </w:rPr>
      <w:fldChar w:fldCharType="end"/>
    </w:r>
  </w:p>
  <w:p w14:paraId="238F1BA1">
    <w:pPr>
      <w:pStyle w:val="11"/>
      <w:rPr>
        <w:rStyle w:val="20"/>
        <w:rFonts w:ascii="Calibri" w:hAnsi="Calibri"/>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2DFD1">
    <w:pPr>
      <w:pStyle w:val="11"/>
      <w:jc w:val="right"/>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5</w:t>
    </w:r>
    <w:r>
      <w:rPr>
        <w:rFonts w:ascii="宋体" w:hAnsi="宋体"/>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7D3C7">
    <w:pPr>
      <w:pStyle w:val="11"/>
      <w:jc w:val="right"/>
      <w:rPr>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IV</w:t>
    </w:r>
    <w:r>
      <w:rPr>
        <w:rFonts w:ascii="宋体" w:hAnsi="宋体"/>
        <w:sz w:val="21"/>
        <w:szCs w:val="21"/>
      </w:rPr>
      <w:fldChar w:fldCharType="end"/>
    </w:r>
  </w:p>
  <w:p w14:paraId="7DB45A8C">
    <w:pPr>
      <w:pStyle w:val="11"/>
      <w:rPr>
        <w:rStyle w:val="20"/>
        <w:rFonts w:ascii="Calibri" w:hAnsi="Calibri"/>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88EE0">
    <w:pPr>
      <w:pStyle w:val="11"/>
      <w:rPr>
        <w:rStyle w:val="20"/>
        <w:rFonts w:hint="eastAsia"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6</w:t>
    </w:r>
    <w:r>
      <w:rPr>
        <w:rFonts w:ascii="宋体" w:hAnsi="宋体"/>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1DA0">
    <w:pPr>
      <w:pStyle w:val="45"/>
      <w:spacing w:after="120"/>
      <w:rPr>
        <w:rFonts w:ascii="Arial" w:hAnsi="Arial"/>
      </w:rPr>
    </w:pPr>
    <w:r>
      <w:rPr>
        <w:rFonts w:ascii="Arial" w:hAnsi="Arial" w:cs="Arial"/>
      </w:rPr>
      <w:t>DB32/T</w:t>
    </w:r>
    <w:r>
      <w:rPr>
        <w:rFonts w:ascii="Arial" w:hAnsi="Arial" w:cs="Arial"/>
        <w:kern w:val="2"/>
        <w:sz w:val="19"/>
        <w:szCs w:val="19"/>
      </w:rPr>
      <w:t xml:space="preserve"> </w:t>
    </w:r>
    <w:r>
      <w:rPr>
        <w:rFonts w:hint="eastAsia" w:ascii="Arial" w:hAnsi="Arial" w:cs="Arial"/>
        <w:kern w:val="2"/>
        <w:sz w:val="19"/>
        <w:szCs w:val="19"/>
      </w:rPr>
      <w:t>XXXX</w:t>
    </w:r>
    <w:r>
      <w:rPr>
        <w:rFonts w:ascii="Arial" w:hAnsi="Arial" w:cs="Arial"/>
      </w:rPr>
      <w:t xml:space="preserve"> —202</w:t>
    </w:r>
    <w:r>
      <w:rPr>
        <w:rFonts w:hint="eastAsia" w:ascii="Arial" w:hAnsi="Arial" w:cs="Arial"/>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BD773">
    <w:pPr>
      <w:pStyle w:val="57"/>
    </w:pPr>
    <w:r>
      <w:t>DB32/T</w:t>
    </w:r>
    <w:r>
      <w:rPr>
        <w:rFonts w:hint="eastAsia"/>
      </w:rPr>
      <w:t xml:space="preserve"> </w:t>
    </w:r>
    <w:r>
      <w:rPr>
        <w:rFonts w:ascii="Arial" w:hAnsi="Arial" w:cs="Arial"/>
        <w:kern w:val="2"/>
        <w:sz w:val="19"/>
        <w:szCs w:val="19"/>
      </w:rPr>
      <w:t>XXXX</w:t>
    </w:r>
    <w:r>
      <w:rPr>
        <w:rFonts w:ascii="Arial" w:hAnsi="Arial" w:cs="Arial"/>
      </w:rPr>
      <w:t>—20</w:t>
    </w:r>
    <w:r>
      <w:rPr>
        <w:rFonts w:ascii="Arial" w:hAnsi="Arial" w:cs="Arial"/>
        <w:kern w:val="2"/>
      </w:rPr>
      <w:t>2</w:t>
    </w:r>
    <w:r>
      <w:rPr>
        <w:rFonts w:hint="eastAsia" w:ascii="Arial" w:hAnsi="Arial" w:cs="Arial"/>
        <w:kern w:val="2"/>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4ADAE">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62"/>
      <w:suff w:val="nothing"/>
      <w:lvlText w:val="%1　"/>
      <w:lvlJc w:val="left"/>
      <w:pPr>
        <w:ind w:left="6096"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1277"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63"/>
      <w:suff w:val="nothing"/>
      <w:lvlText w:val="%1.%2.%3　"/>
      <w:lvlJc w:val="left"/>
      <w:pPr>
        <w:ind w:left="1407" w:firstLine="0"/>
      </w:pPr>
      <w:rPr>
        <w:rFonts w:hint="eastAsia" w:ascii="黑体" w:hAnsi="Times New Roman" w:eastAsia="黑体"/>
        <w:b w:val="0"/>
        <w:i w:val="0"/>
        <w:sz w:val="21"/>
      </w:rPr>
    </w:lvl>
    <w:lvl w:ilvl="3" w:tentative="0">
      <w:start w:val="1"/>
      <w:numFmt w:val="decimal"/>
      <w:suff w:val="nothing"/>
      <w:lvlText w:val="%1.%2.%3.%4　"/>
      <w:lvlJc w:val="left"/>
      <w:pPr>
        <w:ind w:left="567" w:firstLine="0"/>
      </w:pPr>
      <w:rPr>
        <w:rFonts w:hint="eastAsia" w:ascii="黑体" w:hAnsi="Times New Roman" w:eastAsia="黑体"/>
        <w:b w:val="0"/>
        <w:i w:val="0"/>
        <w:sz w:val="21"/>
      </w:rPr>
    </w:lvl>
    <w:lvl w:ilvl="4" w:tentative="0">
      <w:start w:val="1"/>
      <w:numFmt w:val="decimal"/>
      <w:pStyle w:val="64"/>
      <w:suff w:val="nothing"/>
      <w:lvlText w:val="%1.%2.%3.%4.%5　"/>
      <w:lvlJc w:val="left"/>
      <w:pPr>
        <w:ind w:left="567" w:firstLine="0"/>
      </w:pPr>
      <w:rPr>
        <w:rFonts w:hint="eastAsia" w:ascii="黑体" w:hAnsi="Times New Roman" w:eastAsia="黑体"/>
        <w:b w:val="0"/>
        <w:i w:val="0"/>
        <w:sz w:val="21"/>
      </w:rPr>
    </w:lvl>
    <w:lvl w:ilvl="5" w:tentative="0">
      <w:start w:val="1"/>
      <w:numFmt w:val="decimal"/>
      <w:pStyle w:val="65"/>
      <w:suff w:val="nothing"/>
      <w:lvlText w:val="%1.%2.%3.%4.%5.%6　"/>
      <w:lvlJc w:val="left"/>
      <w:pPr>
        <w:ind w:left="567" w:firstLine="0"/>
      </w:pPr>
      <w:rPr>
        <w:rFonts w:hint="eastAsia" w:ascii="黑体" w:hAnsi="Times New Roman" w:eastAsia="黑体"/>
        <w:b w:val="0"/>
        <w:i w:val="0"/>
        <w:sz w:val="21"/>
      </w:rPr>
    </w:lvl>
    <w:lvl w:ilvl="6" w:tentative="0">
      <w:start w:val="1"/>
      <w:numFmt w:val="decimal"/>
      <w:suff w:val="nothing"/>
      <w:lvlText w:val="%1%2.%3.%4.%5.%6.%7　"/>
      <w:lvlJc w:val="left"/>
      <w:pPr>
        <w:ind w:left="567" w:firstLine="0"/>
      </w:pPr>
      <w:rPr>
        <w:rFonts w:hint="eastAsia" w:ascii="黑体" w:hAnsi="Times New Roman" w:eastAsia="黑体"/>
        <w:b w:val="0"/>
        <w:i w:val="0"/>
        <w:sz w:val="21"/>
      </w:rPr>
    </w:lvl>
    <w:lvl w:ilvl="7" w:tentative="0">
      <w:start w:val="1"/>
      <w:numFmt w:val="decimal"/>
      <w:lvlText w:val="%1.%2.%3.%4.%5.%6.%7.%8"/>
      <w:lvlJc w:val="left"/>
      <w:pPr>
        <w:tabs>
          <w:tab w:val="left" w:pos="4918"/>
        </w:tabs>
        <w:ind w:left="4536" w:hanging="1418"/>
      </w:pPr>
      <w:rPr>
        <w:rFonts w:hint="eastAsia"/>
      </w:rPr>
    </w:lvl>
    <w:lvl w:ilvl="8" w:tentative="0">
      <w:start w:val="1"/>
      <w:numFmt w:val="decimal"/>
      <w:lvlText w:val="%1.%2.%3.%4.%5.%6.%7.%8.%9"/>
      <w:lvlJc w:val="left"/>
      <w:pPr>
        <w:tabs>
          <w:tab w:val="left" w:pos="5344"/>
        </w:tabs>
        <w:ind w:left="5244" w:hanging="1700"/>
      </w:pPr>
      <w:rPr>
        <w:rFonts w:hint="eastAsia"/>
      </w:rPr>
    </w:lvl>
  </w:abstractNum>
  <w:abstractNum w:abstractNumId="1">
    <w:nsid w:val="73B4227F"/>
    <w:multiLevelType w:val="multilevel"/>
    <w:tmpl w:val="73B4227F"/>
    <w:lvl w:ilvl="0" w:tentative="0">
      <w:start w:val="1"/>
      <w:numFmt w:val="lowerLetter"/>
      <w:pStyle w:val="47"/>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hNjM1OWQyNjhkMzA4NTJhYWQzZmFkMDVlMmE0MWQifQ=="/>
  </w:docVars>
  <w:rsids>
    <w:rsidRoot w:val="456D4CE1"/>
    <w:rsid w:val="00000AC1"/>
    <w:rsid w:val="000012B9"/>
    <w:rsid w:val="00002AE2"/>
    <w:rsid w:val="000045E3"/>
    <w:rsid w:val="000047D3"/>
    <w:rsid w:val="000049B7"/>
    <w:rsid w:val="00004DF6"/>
    <w:rsid w:val="000051AB"/>
    <w:rsid w:val="00006434"/>
    <w:rsid w:val="00006C81"/>
    <w:rsid w:val="00007A93"/>
    <w:rsid w:val="00007B66"/>
    <w:rsid w:val="00007C3F"/>
    <w:rsid w:val="00011200"/>
    <w:rsid w:val="00011ACD"/>
    <w:rsid w:val="000125C5"/>
    <w:rsid w:val="00012835"/>
    <w:rsid w:val="0001313F"/>
    <w:rsid w:val="0001331E"/>
    <w:rsid w:val="00014947"/>
    <w:rsid w:val="00014C26"/>
    <w:rsid w:val="00014DF6"/>
    <w:rsid w:val="00016BF7"/>
    <w:rsid w:val="000213DC"/>
    <w:rsid w:val="00022525"/>
    <w:rsid w:val="00025464"/>
    <w:rsid w:val="00025E12"/>
    <w:rsid w:val="000270BD"/>
    <w:rsid w:val="00027A2F"/>
    <w:rsid w:val="00030F9E"/>
    <w:rsid w:val="0003294B"/>
    <w:rsid w:val="00032E21"/>
    <w:rsid w:val="00032F18"/>
    <w:rsid w:val="00032FAF"/>
    <w:rsid w:val="00033870"/>
    <w:rsid w:val="0003460A"/>
    <w:rsid w:val="0003476D"/>
    <w:rsid w:val="00036377"/>
    <w:rsid w:val="00036418"/>
    <w:rsid w:val="00040C69"/>
    <w:rsid w:val="0004137C"/>
    <w:rsid w:val="000448D1"/>
    <w:rsid w:val="00044934"/>
    <w:rsid w:val="00046D89"/>
    <w:rsid w:val="00046EE0"/>
    <w:rsid w:val="000474C5"/>
    <w:rsid w:val="00051822"/>
    <w:rsid w:val="00051980"/>
    <w:rsid w:val="000519D6"/>
    <w:rsid w:val="000521EB"/>
    <w:rsid w:val="00054226"/>
    <w:rsid w:val="000548DF"/>
    <w:rsid w:val="00055356"/>
    <w:rsid w:val="00055598"/>
    <w:rsid w:val="00055695"/>
    <w:rsid w:val="00055CC0"/>
    <w:rsid w:val="00056D9C"/>
    <w:rsid w:val="00057425"/>
    <w:rsid w:val="00057C51"/>
    <w:rsid w:val="00060127"/>
    <w:rsid w:val="00060D23"/>
    <w:rsid w:val="000627C0"/>
    <w:rsid w:val="00063FA3"/>
    <w:rsid w:val="000641E2"/>
    <w:rsid w:val="000650BE"/>
    <w:rsid w:val="00065940"/>
    <w:rsid w:val="00066BDE"/>
    <w:rsid w:val="00070429"/>
    <w:rsid w:val="00070DE1"/>
    <w:rsid w:val="00072506"/>
    <w:rsid w:val="00072CDA"/>
    <w:rsid w:val="00073CB5"/>
    <w:rsid w:val="00073CC1"/>
    <w:rsid w:val="000759F9"/>
    <w:rsid w:val="0007637B"/>
    <w:rsid w:val="00076726"/>
    <w:rsid w:val="00076B03"/>
    <w:rsid w:val="000773FD"/>
    <w:rsid w:val="0008212F"/>
    <w:rsid w:val="000825AE"/>
    <w:rsid w:val="000829EC"/>
    <w:rsid w:val="000835F2"/>
    <w:rsid w:val="0008466D"/>
    <w:rsid w:val="0008474A"/>
    <w:rsid w:val="00084E7A"/>
    <w:rsid w:val="0008538C"/>
    <w:rsid w:val="00086A57"/>
    <w:rsid w:val="00086AA5"/>
    <w:rsid w:val="00086FB0"/>
    <w:rsid w:val="0008757B"/>
    <w:rsid w:val="00091DC0"/>
    <w:rsid w:val="00091E27"/>
    <w:rsid w:val="00092DFC"/>
    <w:rsid w:val="00094F95"/>
    <w:rsid w:val="00095380"/>
    <w:rsid w:val="00095D22"/>
    <w:rsid w:val="00096B6E"/>
    <w:rsid w:val="000A065D"/>
    <w:rsid w:val="000A09A7"/>
    <w:rsid w:val="000A0AEC"/>
    <w:rsid w:val="000A126B"/>
    <w:rsid w:val="000A1D38"/>
    <w:rsid w:val="000A1E35"/>
    <w:rsid w:val="000A2F26"/>
    <w:rsid w:val="000A3081"/>
    <w:rsid w:val="000A584F"/>
    <w:rsid w:val="000A6C50"/>
    <w:rsid w:val="000B025A"/>
    <w:rsid w:val="000B0BC9"/>
    <w:rsid w:val="000B2E25"/>
    <w:rsid w:val="000B3BFA"/>
    <w:rsid w:val="000B656F"/>
    <w:rsid w:val="000B6D92"/>
    <w:rsid w:val="000C1AB8"/>
    <w:rsid w:val="000C1D73"/>
    <w:rsid w:val="000C2181"/>
    <w:rsid w:val="000C30E2"/>
    <w:rsid w:val="000C31DC"/>
    <w:rsid w:val="000C322C"/>
    <w:rsid w:val="000C39AB"/>
    <w:rsid w:val="000C4682"/>
    <w:rsid w:val="000C52E1"/>
    <w:rsid w:val="000C735E"/>
    <w:rsid w:val="000C736F"/>
    <w:rsid w:val="000C74DE"/>
    <w:rsid w:val="000C762C"/>
    <w:rsid w:val="000C7D64"/>
    <w:rsid w:val="000D0949"/>
    <w:rsid w:val="000D10B2"/>
    <w:rsid w:val="000D1177"/>
    <w:rsid w:val="000D258E"/>
    <w:rsid w:val="000D3C7B"/>
    <w:rsid w:val="000D5147"/>
    <w:rsid w:val="000D61E9"/>
    <w:rsid w:val="000E127B"/>
    <w:rsid w:val="000E132B"/>
    <w:rsid w:val="000E34CB"/>
    <w:rsid w:val="000E46B7"/>
    <w:rsid w:val="000E5218"/>
    <w:rsid w:val="000E553E"/>
    <w:rsid w:val="000E5627"/>
    <w:rsid w:val="000E5737"/>
    <w:rsid w:val="000E6FE5"/>
    <w:rsid w:val="000E71A8"/>
    <w:rsid w:val="000F0837"/>
    <w:rsid w:val="000F29D3"/>
    <w:rsid w:val="000F48F7"/>
    <w:rsid w:val="000F4932"/>
    <w:rsid w:val="000F4EA3"/>
    <w:rsid w:val="000F5E1B"/>
    <w:rsid w:val="000F73BA"/>
    <w:rsid w:val="001005C2"/>
    <w:rsid w:val="00101F53"/>
    <w:rsid w:val="00103CEA"/>
    <w:rsid w:val="00105020"/>
    <w:rsid w:val="00105842"/>
    <w:rsid w:val="00106729"/>
    <w:rsid w:val="00106805"/>
    <w:rsid w:val="001069B5"/>
    <w:rsid w:val="00106BA1"/>
    <w:rsid w:val="00110BE6"/>
    <w:rsid w:val="001112F7"/>
    <w:rsid w:val="00111E48"/>
    <w:rsid w:val="00112C73"/>
    <w:rsid w:val="001135CB"/>
    <w:rsid w:val="00114D44"/>
    <w:rsid w:val="0011584F"/>
    <w:rsid w:val="00115E27"/>
    <w:rsid w:val="00116C1B"/>
    <w:rsid w:val="00123DEB"/>
    <w:rsid w:val="00124B04"/>
    <w:rsid w:val="00124CC2"/>
    <w:rsid w:val="00124EB7"/>
    <w:rsid w:val="001255B8"/>
    <w:rsid w:val="0012613C"/>
    <w:rsid w:val="00126D45"/>
    <w:rsid w:val="00131078"/>
    <w:rsid w:val="0013297D"/>
    <w:rsid w:val="0013349F"/>
    <w:rsid w:val="0013429D"/>
    <w:rsid w:val="001344DF"/>
    <w:rsid w:val="00134844"/>
    <w:rsid w:val="00134D61"/>
    <w:rsid w:val="001350D3"/>
    <w:rsid w:val="001350D7"/>
    <w:rsid w:val="00135B49"/>
    <w:rsid w:val="00136B9E"/>
    <w:rsid w:val="00136FA7"/>
    <w:rsid w:val="001416A0"/>
    <w:rsid w:val="0014170F"/>
    <w:rsid w:val="001419AC"/>
    <w:rsid w:val="001420CB"/>
    <w:rsid w:val="0014263E"/>
    <w:rsid w:val="00142653"/>
    <w:rsid w:val="001450F9"/>
    <w:rsid w:val="0014576A"/>
    <w:rsid w:val="0014729A"/>
    <w:rsid w:val="001510EB"/>
    <w:rsid w:val="00152D20"/>
    <w:rsid w:val="00152DE6"/>
    <w:rsid w:val="001541B3"/>
    <w:rsid w:val="00154A36"/>
    <w:rsid w:val="00156F0A"/>
    <w:rsid w:val="00157212"/>
    <w:rsid w:val="00161E13"/>
    <w:rsid w:val="00162662"/>
    <w:rsid w:val="001628B9"/>
    <w:rsid w:val="00163E94"/>
    <w:rsid w:val="00164AA7"/>
    <w:rsid w:val="00166038"/>
    <w:rsid w:val="00166D45"/>
    <w:rsid w:val="00170900"/>
    <w:rsid w:val="00171CA0"/>
    <w:rsid w:val="0017237B"/>
    <w:rsid w:val="001727E1"/>
    <w:rsid w:val="00175E86"/>
    <w:rsid w:val="00175E8E"/>
    <w:rsid w:val="0017674E"/>
    <w:rsid w:val="0017713F"/>
    <w:rsid w:val="001772CC"/>
    <w:rsid w:val="001772E3"/>
    <w:rsid w:val="0017769D"/>
    <w:rsid w:val="001803CE"/>
    <w:rsid w:val="001807B2"/>
    <w:rsid w:val="00180D64"/>
    <w:rsid w:val="0018120C"/>
    <w:rsid w:val="001817A2"/>
    <w:rsid w:val="0018259C"/>
    <w:rsid w:val="00182B21"/>
    <w:rsid w:val="001858A5"/>
    <w:rsid w:val="0018645B"/>
    <w:rsid w:val="00186907"/>
    <w:rsid w:val="00187002"/>
    <w:rsid w:val="001916BA"/>
    <w:rsid w:val="00191D38"/>
    <w:rsid w:val="0019298E"/>
    <w:rsid w:val="0019428A"/>
    <w:rsid w:val="001954EA"/>
    <w:rsid w:val="001959BB"/>
    <w:rsid w:val="00195F4B"/>
    <w:rsid w:val="00196130"/>
    <w:rsid w:val="001966E1"/>
    <w:rsid w:val="001A02A8"/>
    <w:rsid w:val="001A10D3"/>
    <w:rsid w:val="001A15D1"/>
    <w:rsid w:val="001A45E1"/>
    <w:rsid w:val="001A4D2E"/>
    <w:rsid w:val="001B3797"/>
    <w:rsid w:val="001B6496"/>
    <w:rsid w:val="001B64A0"/>
    <w:rsid w:val="001B72DB"/>
    <w:rsid w:val="001C00B4"/>
    <w:rsid w:val="001C06D8"/>
    <w:rsid w:val="001C16D6"/>
    <w:rsid w:val="001C1AE1"/>
    <w:rsid w:val="001C1B32"/>
    <w:rsid w:val="001C27AE"/>
    <w:rsid w:val="001C2858"/>
    <w:rsid w:val="001C38A5"/>
    <w:rsid w:val="001C39D5"/>
    <w:rsid w:val="001C49F8"/>
    <w:rsid w:val="001D007D"/>
    <w:rsid w:val="001D11EB"/>
    <w:rsid w:val="001D154F"/>
    <w:rsid w:val="001D18CE"/>
    <w:rsid w:val="001D20C3"/>
    <w:rsid w:val="001D2F8F"/>
    <w:rsid w:val="001D4ECF"/>
    <w:rsid w:val="001E18DA"/>
    <w:rsid w:val="001E18E6"/>
    <w:rsid w:val="001E1E18"/>
    <w:rsid w:val="001E4468"/>
    <w:rsid w:val="001E7B65"/>
    <w:rsid w:val="001F0E1F"/>
    <w:rsid w:val="001F18CB"/>
    <w:rsid w:val="001F28D2"/>
    <w:rsid w:val="001F41B3"/>
    <w:rsid w:val="001F507D"/>
    <w:rsid w:val="001F6D75"/>
    <w:rsid w:val="001F702D"/>
    <w:rsid w:val="00201462"/>
    <w:rsid w:val="002024FA"/>
    <w:rsid w:val="00202A14"/>
    <w:rsid w:val="00203085"/>
    <w:rsid w:val="00204945"/>
    <w:rsid w:val="002065BB"/>
    <w:rsid w:val="00206C26"/>
    <w:rsid w:val="0021091B"/>
    <w:rsid w:val="002128DB"/>
    <w:rsid w:val="002130BF"/>
    <w:rsid w:val="0021334B"/>
    <w:rsid w:val="00214A96"/>
    <w:rsid w:val="002151DD"/>
    <w:rsid w:val="002226E2"/>
    <w:rsid w:val="00222D51"/>
    <w:rsid w:val="00224C18"/>
    <w:rsid w:val="00225184"/>
    <w:rsid w:val="0022673E"/>
    <w:rsid w:val="00226922"/>
    <w:rsid w:val="00227EBD"/>
    <w:rsid w:val="002305B8"/>
    <w:rsid w:val="00230D0C"/>
    <w:rsid w:val="00230DE2"/>
    <w:rsid w:val="0023207A"/>
    <w:rsid w:val="00232F86"/>
    <w:rsid w:val="00235999"/>
    <w:rsid w:val="00237182"/>
    <w:rsid w:val="00240009"/>
    <w:rsid w:val="00240D6C"/>
    <w:rsid w:val="002442F9"/>
    <w:rsid w:val="00244988"/>
    <w:rsid w:val="002454CF"/>
    <w:rsid w:val="00246251"/>
    <w:rsid w:val="00246747"/>
    <w:rsid w:val="00246FA9"/>
    <w:rsid w:val="002477E5"/>
    <w:rsid w:val="00250948"/>
    <w:rsid w:val="00250CB9"/>
    <w:rsid w:val="002535DE"/>
    <w:rsid w:val="002538C2"/>
    <w:rsid w:val="00254A6F"/>
    <w:rsid w:val="0025506F"/>
    <w:rsid w:val="00255B3C"/>
    <w:rsid w:val="002576E7"/>
    <w:rsid w:val="00257FEE"/>
    <w:rsid w:val="00260A4C"/>
    <w:rsid w:val="002613BE"/>
    <w:rsid w:val="002616EE"/>
    <w:rsid w:val="0026197A"/>
    <w:rsid w:val="0026215C"/>
    <w:rsid w:val="00262C52"/>
    <w:rsid w:val="0026402C"/>
    <w:rsid w:val="00264D6C"/>
    <w:rsid w:val="00265150"/>
    <w:rsid w:val="00265A2A"/>
    <w:rsid w:val="00265B78"/>
    <w:rsid w:val="00265FC5"/>
    <w:rsid w:val="002669D1"/>
    <w:rsid w:val="00270CDF"/>
    <w:rsid w:val="00271A2A"/>
    <w:rsid w:val="00272816"/>
    <w:rsid w:val="002742E9"/>
    <w:rsid w:val="00274579"/>
    <w:rsid w:val="00274953"/>
    <w:rsid w:val="00274F40"/>
    <w:rsid w:val="002751D1"/>
    <w:rsid w:val="00275DC1"/>
    <w:rsid w:val="0027633F"/>
    <w:rsid w:val="00276455"/>
    <w:rsid w:val="00277D95"/>
    <w:rsid w:val="0028115C"/>
    <w:rsid w:val="0028126E"/>
    <w:rsid w:val="00282C51"/>
    <w:rsid w:val="00284064"/>
    <w:rsid w:val="002857F3"/>
    <w:rsid w:val="00285DB3"/>
    <w:rsid w:val="002902A5"/>
    <w:rsid w:val="00292306"/>
    <w:rsid w:val="00292DAF"/>
    <w:rsid w:val="00294132"/>
    <w:rsid w:val="00294160"/>
    <w:rsid w:val="0029490C"/>
    <w:rsid w:val="0029629C"/>
    <w:rsid w:val="00296986"/>
    <w:rsid w:val="0029752A"/>
    <w:rsid w:val="00297BE4"/>
    <w:rsid w:val="002A04E5"/>
    <w:rsid w:val="002A054D"/>
    <w:rsid w:val="002A0AE8"/>
    <w:rsid w:val="002A1A83"/>
    <w:rsid w:val="002A1D49"/>
    <w:rsid w:val="002A1FBA"/>
    <w:rsid w:val="002A3D68"/>
    <w:rsid w:val="002A46CE"/>
    <w:rsid w:val="002A6AC0"/>
    <w:rsid w:val="002B26D0"/>
    <w:rsid w:val="002B2F33"/>
    <w:rsid w:val="002B315E"/>
    <w:rsid w:val="002B3460"/>
    <w:rsid w:val="002B3848"/>
    <w:rsid w:val="002B3854"/>
    <w:rsid w:val="002B4375"/>
    <w:rsid w:val="002B4A0F"/>
    <w:rsid w:val="002B54A8"/>
    <w:rsid w:val="002B6440"/>
    <w:rsid w:val="002B7BFA"/>
    <w:rsid w:val="002C21F2"/>
    <w:rsid w:val="002C224A"/>
    <w:rsid w:val="002C273B"/>
    <w:rsid w:val="002C2F5E"/>
    <w:rsid w:val="002C43B3"/>
    <w:rsid w:val="002C4E4C"/>
    <w:rsid w:val="002C6D10"/>
    <w:rsid w:val="002C6DFF"/>
    <w:rsid w:val="002C7120"/>
    <w:rsid w:val="002C77BA"/>
    <w:rsid w:val="002D02A1"/>
    <w:rsid w:val="002D1AAF"/>
    <w:rsid w:val="002D27D5"/>
    <w:rsid w:val="002D2BF6"/>
    <w:rsid w:val="002D5415"/>
    <w:rsid w:val="002D59A3"/>
    <w:rsid w:val="002D60A6"/>
    <w:rsid w:val="002D73DA"/>
    <w:rsid w:val="002E0723"/>
    <w:rsid w:val="002E265A"/>
    <w:rsid w:val="002E3009"/>
    <w:rsid w:val="002E374A"/>
    <w:rsid w:val="002E4BC5"/>
    <w:rsid w:val="002E5D56"/>
    <w:rsid w:val="002E65F0"/>
    <w:rsid w:val="002E7B4D"/>
    <w:rsid w:val="002E7E4A"/>
    <w:rsid w:val="002F3035"/>
    <w:rsid w:val="002F303E"/>
    <w:rsid w:val="002F3235"/>
    <w:rsid w:val="002F472E"/>
    <w:rsid w:val="002F52E1"/>
    <w:rsid w:val="002F6E24"/>
    <w:rsid w:val="002F7FD7"/>
    <w:rsid w:val="003006EE"/>
    <w:rsid w:val="003011BF"/>
    <w:rsid w:val="003034BE"/>
    <w:rsid w:val="003034D9"/>
    <w:rsid w:val="00305467"/>
    <w:rsid w:val="00305F4F"/>
    <w:rsid w:val="0030634C"/>
    <w:rsid w:val="00306A8D"/>
    <w:rsid w:val="00312573"/>
    <w:rsid w:val="003126B6"/>
    <w:rsid w:val="00314C16"/>
    <w:rsid w:val="003163D1"/>
    <w:rsid w:val="00317E1A"/>
    <w:rsid w:val="00321784"/>
    <w:rsid w:val="003223DE"/>
    <w:rsid w:val="0032258D"/>
    <w:rsid w:val="00322A11"/>
    <w:rsid w:val="003241E6"/>
    <w:rsid w:val="00324512"/>
    <w:rsid w:val="003259E6"/>
    <w:rsid w:val="00325EEB"/>
    <w:rsid w:val="00326C6A"/>
    <w:rsid w:val="00327BB8"/>
    <w:rsid w:val="00330B09"/>
    <w:rsid w:val="00330B50"/>
    <w:rsid w:val="003337F6"/>
    <w:rsid w:val="003340D7"/>
    <w:rsid w:val="00334522"/>
    <w:rsid w:val="00336D65"/>
    <w:rsid w:val="00337AF0"/>
    <w:rsid w:val="00337DE7"/>
    <w:rsid w:val="0034119F"/>
    <w:rsid w:val="00342B62"/>
    <w:rsid w:val="00343165"/>
    <w:rsid w:val="003453CA"/>
    <w:rsid w:val="00345B23"/>
    <w:rsid w:val="0034635B"/>
    <w:rsid w:val="00346737"/>
    <w:rsid w:val="0034678B"/>
    <w:rsid w:val="00347020"/>
    <w:rsid w:val="00347041"/>
    <w:rsid w:val="00347DE0"/>
    <w:rsid w:val="003505C8"/>
    <w:rsid w:val="0035064E"/>
    <w:rsid w:val="0035105B"/>
    <w:rsid w:val="0035161E"/>
    <w:rsid w:val="00351D00"/>
    <w:rsid w:val="003534E4"/>
    <w:rsid w:val="00353C30"/>
    <w:rsid w:val="00353FB8"/>
    <w:rsid w:val="0035597C"/>
    <w:rsid w:val="00355D46"/>
    <w:rsid w:val="0035703C"/>
    <w:rsid w:val="00360989"/>
    <w:rsid w:val="00360BF2"/>
    <w:rsid w:val="00361B09"/>
    <w:rsid w:val="00364A3A"/>
    <w:rsid w:val="00365060"/>
    <w:rsid w:val="00365484"/>
    <w:rsid w:val="003658CD"/>
    <w:rsid w:val="003658E4"/>
    <w:rsid w:val="0036653B"/>
    <w:rsid w:val="00366F13"/>
    <w:rsid w:val="00370AB0"/>
    <w:rsid w:val="00371DAD"/>
    <w:rsid w:val="00372A25"/>
    <w:rsid w:val="003734DF"/>
    <w:rsid w:val="00373816"/>
    <w:rsid w:val="00374218"/>
    <w:rsid w:val="00374A72"/>
    <w:rsid w:val="00374FE7"/>
    <w:rsid w:val="00375BED"/>
    <w:rsid w:val="00376C3C"/>
    <w:rsid w:val="00376C97"/>
    <w:rsid w:val="00377325"/>
    <w:rsid w:val="00377D15"/>
    <w:rsid w:val="0038169E"/>
    <w:rsid w:val="0038189D"/>
    <w:rsid w:val="00383974"/>
    <w:rsid w:val="00384C94"/>
    <w:rsid w:val="00385BCF"/>
    <w:rsid w:val="00386B23"/>
    <w:rsid w:val="003870D2"/>
    <w:rsid w:val="00387543"/>
    <w:rsid w:val="003879D2"/>
    <w:rsid w:val="003879DA"/>
    <w:rsid w:val="00387FB2"/>
    <w:rsid w:val="003912FF"/>
    <w:rsid w:val="00392F37"/>
    <w:rsid w:val="003934B6"/>
    <w:rsid w:val="00394119"/>
    <w:rsid w:val="00394CE7"/>
    <w:rsid w:val="003954FB"/>
    <w:rsid w:val="00395AAE"/>
    <w:rsid w:val="00396D97"/>
    <w:rsid w:val="0039728A"/>
    <w:rsid w:val="003A2764"/>
    <w:rsid w:val="003A27F7"/>
    <w:rsid w:val="003A381D"/>
    <w:rsid w:val="003A39F2"/>
    <w:rsid w:val="003A53E2"/>
    <w:rsid w:val="003A621C"/>
    <w:rsid w:val="003A72B9"/>
    <w:rsid w:val="003B0487"/>
    <w:rsid w:val="003B071D"/>
    <w:rsid w:val="003B17BB"/>
    <w:rsid w:val="003B2A8B"/>
    <w:rsid w:val="003B4914"/>
    <w:rsid w:val="003B5D2B"/>
    <w:rsid w:val="003B6B46"/>
    <w:rsid w:val="003B7E85"/>
    <w:rsid w:val="003C08B2"/>
    <w:rsid w:val="003C3D21"/>
    <w:rsid w:val="003C3EE1"/>
    <w:rsid w:val="003C426B"/>
    <w:rsid w:val="003C454C"/>
    <w:rsid w:val="003C499A"/>
    <w:rsid w:val="003C502D"/>
    <w:rsid w:val="003C51E4"/>
    <w:rsid w:val="003C5A87"/>
    <w:rsid w:val="003C6BB6"/>
    <w:rsid w:val="003C6C84"/>
    <w:rsid w:val="003D11F9"/>
    <w:rsid w:val="003D14B5"/>
    <w:rsid w:val="003D21CC"/>
    <w:rsid w:val="003D24DC"/>
    <w:rsid w:val="003D3EDB"/>
    <w:rsid w:val="003D4322"/>
    <w:rsid w:val="003D49F3"/>
    <w:rsid w:val="003D4EF0"/>
    <w:rsid w:val="003D5C39"/>
    <w:rsid w:val="003D706C"/>
    <w:rsid w:val="003D7396"/>
    <w:rsid w:val="003E12BC"/>
    <w:rsid w:val="003E61C1"/>
    <w:rsid w:val="003E74B9"/>
    <w:rsid w:val="003E7710"/>
    <w:rsid w:val="003E7AFE"/>
    <w:rsid w:val="003E7F74"/>
    <w:rsid w:val="003F14F6"/>
    <w:rsid w:val="003F37C7"/>
    <w:rsid w:val="003F4C3A"/>
    <w:rsid w:val="003F5B1E"/>
    <w:rsid w:val="003F64E5"/>
    <w:rsid w:val="003F7C3C"/>
    <w:rsid w:val="0040137E"/>
    <w:rsid w:val="004018A7"/>
    <w:rsid w:val="00402173"/>
    <w:rsid w:val="004025F3"/>
    <w:rsid w:val="004026A8"/>
    <w:rsid w:val="004033FF"/>
    <w:rsid w:val="004043A7"/>
    <w:rsid w:val="0040611B"/>
    <w:rsid w:val="0040612F"/>
    <w:rsid w:val="0040679E"/>
    <w:rsid w:val="004077C5"/>
    <w:rsid w:val="00411A96"/>
    <w:rsid w:val="00413389"/>
    <w:rsid w:val="004138F4"/>
    <w:rsid w:val="00414071"/>
    <w:rsid w:val="00414404"/>
    <w:rsid w:val="004145E1"/>
    <w:rsid w:val="00415805"/>
    <w:rsid w:val="00416721"/>
    <w:rsid w:val="00416D81"/>
    <w:rsid w:val="00417219"/>
    <w:rsid w:val="00421172"/>
    <w:rsid w:val="0042198E"/>
    <w:rsid w:val="00421A99"/>
    <w:rsid w:val="00423539"/>
    <w:rsid w:val="00424D68"/>
    <w:rsid w:val="00425B5B"/>
    <w:rsid w:val="004267BF"/>
    <w:rsid w:val="004270AF"/>
    <w:rsid w:val="0043075F"/>
    <w:rsid w:val="00430931"/>
    <w:rsid w:val="00430DCF"/>
    <w:rsid w:val="004322D4"/>
    <w:rsid w:val="00432646"/>
    <w:rsid w:val="00432ED6"/>
    <w:rsid w:val="00433432"/>
    <w:rsid w:val="00433598"/>
    <w:rsid w:val="004376B6"/>
    <w:rsid w:val="0044001E"/>
    <w:rsid w:val="004400BA"/>
    <w:rsid w:val="004400D6"/>
    <w:rsid w:val="004403A8"/>
    <w:rsid w:val="00441148"/>
    <w:rsid w:val="00441B93"/>
    <w:rsid w:val="00441DA0"/>
    <w:rsid w:val="004431A6"/>
    <w:rsid w:val="00443847"/>
    <w:rsid w:val="00443D33"/>
    <w:rsid w:val="00443FDD"/>
    <w:rsid w:val="00444B72"/>
    <w:rsid w:val="00444DF1"/>
    <w:rsid w:val="004465FE"/>
    <w:rsid w:val="00451E9A"/>
    <w:rsid w:val="00451F3D"/>
    <w:rsid w:val="00453CA4"/>
    <w:rsid w:val="00455275"/>
    <w:rsid w:val="0045552F"/>
    <w:rsid w:val="004561FE"/>
    <w:rsid w:val="00456791"/>
    <w:rsid w:val="00456BC4"/>
    <w:rsid w:val="00456EA5"/>
    <w:rsid w:val="00456ED4"/>
    <w:rsid w:val="004601C1"/>
    <w:rsid w:val="00460970"/>
    <w:rsid w:val="00460D2D"/>
    <w:rsid w:val="004624E2"/>
    <w:rsid w:val="00462E26"/>
    <w:rsid w:val="004631AB"/>
    <w:rsid w:val="00463AAF"/>
    <w:rsid w:val="0046573D"/>
    <w:rsid w:val="00465897"/>
    <w:rsid w:val="00467F63"/>
    <w:rsid w:val="00471378"/>
    <w:rsid w:val="00471D23"/>
    <w:rsid w:val="00472E3A"/>
    <w:rsid w:val="00473B3D"/>
    <w:rsid w:val="004749E0"/>
    <w:rsid w:val="00474CFF"/>
    <w:rsid w:val="00475213"/>
    <w:rsid w:val="004760E7"/>
    <w:rsid w:val="00476FDD"/>
    <w:rsid w:val="0048153E"/>
    <w:rsid w:val="00482858"/>
    <w:rsid w:val="00482DB3"/>
    <w:rsid w:val="00482FD5"/>
    <w:rsid w:val="004840A2"/>
    <w:rsid w:val="00484D58"/>
    <w:rsid w:val="004853A1"/>
    <w:rsid w:val="00486940"/>
    <w:rsid w:val="00487ABA"/>
    <w:rsid w:val="0049064D"/>
    <w:rsid w:val="004906BA"/>
    <w:rsid w:val="00491C76"/>
    <w:rsid w:val="00492137"/>
    <w:rsid w:val="004928F0"/>
    <w:rsid w:val="004930E0"/>
    <w:rsid w:val="00493E23"/>
    <w:rsid w:val="0049556E"/>
    <w:rsid w:val="00497BA7"/>
    <w:rsid w:val="004A12AB"/>
    <w:rsid w:val="004A16B7"/>
    <w:rsid w:val="004A1BFC"/>
    <w:rsid w:val="004A3747"/>
    <w:rsid w:val="004A5881"/>
    <w:rsid w:val="004A5B45"/>
    <w:rsid w:val="004A5CA3"/>
    <w:rsid w:val="004A6FBC"/>
    <w:rsid w:val="004A704A"/>
    <w:rsid w:val="004B0D24"/>
    <w:rsid w:val="004B1810"/>
    <w:rsid w:val="004B2533"/>
    <w:rsid w:val="004B30F1"/>
    <w:rsid w:val="004B5ED8"/>
    <w:rsid w:val="004B6090"/>
    <w:rsid w:val="004B63C3"/>
    <w:rsid w:val="004B6DBF"/>
    <w:rsid w:val="004B7332"/>
    <w:rsid w:val="004B7DD4"/>
    <w:rsid w:val="004B7EBE"/>
    <w:rsid w:val="004C0CAB"/>
    <w:rsid w:val="004C17BC"/>
    <w:rsid w:val="004C20BD"/>
    <w:rsid w:val="004C23C9"/>
    <w:rsid w:val="004C509B"/>
    <w:rsid w:val="004C5936"/>
    <w:rsid w:val="004C5ED3"/>
    <w:rsid w:val="004C6DC0"/>
    <w:rsid w:val="004C794F"/>
    <w:rsid w:val="004D0596"/>
    <w:rsid w:val="004D1DD9"/>
    <w:rsid w:val="004D2BE8"/>
    <w:rsid w:val="004D35E0"/>
    <w:rsid w:val="004D3F28"/>
    <w:rsid w:val="004D4321"/>
    <w:rsid w:val="004D4A03"/>
    <w:rsid w:val="004D64D6"/>
    <w:rsid w:val="004D7A10"/>
    <w:rsid w:val="004E089F"/>
    <w:rsid w:val="004E0BAE"/>
    <w:rsid w:val="004E10A3"/>
    <w:rsid w:val="004E1C68"/>
    <w:rsid w:val="004E2517"/>
    <w:rsid w:val="004E2733"/>
    <w:rsid w:val="004E3B81"/>
    <w:rsid w:val="004E441A"/>
    <w:rsid w:val="004E5175"/>
    <w:rsid w:val="004E5F14"/>
    <w:rsid w:val="004E6D3F"/>
    <w:rsid w:val="004E7A22"/>
    <w:rsid w:val="004F25AF"/>
    <w:rsid w:val="004F3316"/>
    <w:rsid w:val="004F3BDB"/>
    <w:rsid w:val="004F3FF3"/>
    <w:rsid w:val="004F44E6"/>
    <w:rsid w:val="004F44FD"/>
    <w:rsid w:val="004F4D93"/>
    <w:rsid w:val="004F5545"/>
    <w:rsid w:val="004F6CCB"/>
    <w:rsid w:val="004F767F"/>
    <w:rsid w:val="005002B7"/>
    <w:rsid w:val="0050072C"/>
    <w:rsid w:val="00504D05"/>
    <w:rsid w:val="00505359"/>
    <w:rsid w:val="00505963"/>
    <w:rsid w:val="00505C47"/>
    <w:rsid w:val="00506868"/>
    <w:rsid w:val="00506947"/>
    <w:rsid w:val="00506BAE"/>
    <w:rsid w:val="00506E30"/>
    <w:rsid w:val="00507A78"/>
    <w:rsid w:val="00507F40"/>
    <w:rsid w:val="005104E2"/>
    <w:rsid w:val="00510A97"/>
    <w:rsid w:val="00511791"/>
    <w:rsid w:val="0051329E"/>
    <w:rsid w:val="00513370"/>
    <w:rsid w:val="00513C84"/>
    <w:rsid w:val="005144A3"/>
    <w:rsid w:val="0051650C"/>
    <w:rsid w:val="0052033C"/>
    <w:rsid w:val="00520F6A"/>
    <w:rsid w:val="0052145F"/>
    <w:rsid w:val="00521E21"/>
    <w:rsid w:val="00522C06"/>
    <w:rsid w:val="00522E9C"/>
    <w:rsid w:val="00524957"/>
    <w:rsid w:val="00524D42"/>
    <w:rsid w:val="00524EDD"/>
    <w:rsid w:val="0053162C"/>
    <w:rsid w:val="00532CC2"/>
    <w:rsid w:val="0053366B"/>
    <w:rsid w:val="005357D1"/>
    <w:rsid w:val="00540EE4"/>
    <w:rsid w:val="00542906"/>
    <w:rsid w:val="00543ED1"/>
    <w:rsid w:val="0054572D"/>
    <w:rsid w:val="005463D2"/>
    <w:rsid w:val="00546E28"/>
    <w:rsid w:val="005475B4"/>
    <w:rsid w:val="00547A80"/>
    <w:rsid w:val="00551CE0"/>
    <w:rsid w:val="00552699"/>
    <w:rsid w:val="00552AF3"/>
    <w:rsid w:val="00553A12"/>
    <w:rsid w:val="00554408"/>
    <w:rsid w:val="005560ED"/>
    <w:rsid w:val="00556493"/>
    <w:rsid w:val="005616D4"/>
    <w:rsid w:val="005622B3"/>
    <w:rsid w:val="0056239E"/>
    <w:rsid w:val="0056286B"/>
    <w:rsid w:val="00562919"/>
    <w:rsid w:val="00562E87"/>
    <w:rsid w:val="00565F44"/>
    <w:rsid w:val="00566299"/>
    <w:rsid w:val="00566845"/>
    <w:rsid w:val="00567FD3"/>
    <w:rsid w:val="00571B75"/>
    <w:rsid w:val="005725F1"/>
    <w:rsid w:val="005726B8"/>
    <w:rsid w:val="00572900"/>
    <w:rsid w:val="00572B28"/>
    <w:rsid w:val="0057360B"/>
    <w:rsid w:val="00573E79"/>
    <w:rsid w:val="005746BE"/>
    <w:rsid w:val="00576E40"/>
    <w:rsid w:val="00577996"/>
    <w:rsid w:val="00577B1A"/>
    <w:rsid w:val="005808E1"/>
    <w:rsid w:val="00581F8D"/>
    <w:rsid w:val="0058469B"/>
    <w:rsid w:val="00585EC5"/>
    <w:rsid w:val="00586BBE"/>
    <w:rsid w:val="0058756F"/>
    <w:rsid w:val="00590FF4"/>
    <w:rsid w:val="00591645"/>
    <w:rsid w:val="00591680"/>
    <w:rsid w:val="00591A17"/>
    <w:rsid w:val="00591A83"/>
    <w:rsid w:val="00593DD6"/>
    <w:rsid w:val="005940A1"/>
    <w:rsid w:val="0059456A"/>
    <w:rsid w:val="005946B8"/>
    <w:rsid w:val="00594CFD"/>
    <w:rsid w:val="00595465"/>
    <w:rsid w:val="00596D76"/>
    <w:rsid w:val="005976F8"/>
    <w:rsid w:val="005A000B"/>
    <w:rsid w:val="005A0232"/>
    <w:rsid w:val="005A17FC"/>
    <w:rsid w:val="005A1879"/>
    <w:rsid w:val="005A3883"/>
    <w:rsid w:val="005A4B4A"/>
    <w:rsid w:val="005A4DD0"/>
    <w:rsid w:val="005A4F20"/>
    <w:rsid w:val="005A70E8"/>
    <w:rsid w:val="005A76FB"/>
    <w:rsid w:val="005A78D2"/>
    <w:rsid w:val="005A7928"/>
    <w:rsid w:val="005A7F96"/>
    <w:rsid w:val="005B03CE"/>
    <w:rsid w:val="005B2AEF"/>
    <w:rsid w:val="005B2CE1"/>
    <w:rsid w:val="005B33C4"/>
    <w:rsid w:val="005B3EC4"/>
    <w:rsid w:val="005B4F25"/>
    <w:rsid w:val="005B687B"/>
    <w:rsid w:val="005B72CE"/>
    <w:rsid w:val="005B768D"/>
    <w:rsid w:val="005C0203"/>
    <w:rsid w:val="005C02EC"/>
    <w:rsid w:val="005C1118"/>
    <w:rsid w:val="005C14E9"/>
    <w:rsid w:val="005C3186"/>
    <w:rsid w:val="005C32C6"/>
    <w:rsid w:val="005C37C5"/>
    <w:rsid w:val="005C6677"/>
    <w:rsid w:val="005D00C7"/>
    <w:rsid w:val="005D0DD2"/>
    <w:rsid w:val="005D164F"/>
    <w:rsid w:val="005D1714"/>
    <w:rsid w:val="005D2F7A"/>
    <w:rsid w:val="005D3D79"/>
    <w:rsid w:val="005D578E"/>
    <w:rsid w:val="005D5F45"/>
    <w:rsid w:val="005D6017"/>
    <w:rsid w:val="005D6626"/>
    <w:rsid w:val="005D691B"/>
    <w:rsid w:val="005D6B4D"/>
    <w:rsid w:val="005D7D1E"/>
    <w:rsid w:val="005E05E9"/>
    <w:rsid w:val="005E2B25"/>
    <w:rsid w:val="005E353A"/>
    <w:rsid w:val="005E359C"/>
    <w:rsid w:val="005E4D8A"/>
    <w:rsid w:val="005E5C09"/>
    <w:rsid w:val="005E5FA3"/>
    <w:rsid w:val="005E7B45"/>
    <w:rsid w:val="005F0A7B"/>
    <w:rsid w:val="005F0F74"/>
    <w:rsid w:val="005F2D4A"/>
    <w:rsid w:val="005F33E4"/>
    <w:rsid w:val="005F3420"/>
    <w:rsid w:val="005F39AF"/>
    <w:rsid w:val="005F3A1F"/>
    <w:rsid w:val="005F4198"/>
    <w:rsid w:val="005F6A1F"/>
    <w:rsid w:val="005F728B"/>
    <w:rsid w:val="00600F26"/>
    <w:rsid w:val="00601304"/>
    <w:rsid w:val="00602FFA"/>
    <w:rsid w:val="00604DF6"/>
    <w:rsid w:val="00605185"/>
    <w:rsid w:val="00606F1E"/>
    <w:rsid w:val="00607D4C"/>
    <w:rsid w:val="0061064A"/>
    <w:rsid w:val="006106DB"/>
    <w:rsid w:val="00611609"/>
    <w:rsid w:val="006116E0"/>
    <w:rsid w:val="00612468"/>
    <w:rsid w:val="0061251D"/>
    <w:rsid w:val="00612BE2"/>
    <w:rsid w:val="00612FC9"/>
    <w:rsid w:val="00614451"/>
    <w:rsid w:val="00614D8A"/>
    <w:rsid w:val="00615763"/>
    <w:rsid w:val="00615AE4"/>
    <w:rsid w:val="0061792F"/>
    <w:rsid w:val="006201AA"/>
    <w:rsid w:val="00620B07"/>
    <w:rsid w:val="00622B51"/>
    <w:rsid w:val="00622C2D"/>
    <w:rsid w:val="00622FBA"/>
    <w:rsid w:val="00625590"/>
    <w:rsid w:val="00625BC7"/>
    <w:rsid w:val="00626147"/>
    <w:rsid w:val="006267A8"/>
    <w:rsid w:val="00627D80"/>
    <w:rsid w:val="00627E2C"/>
    <w:rsid w:val="00630EE4"/>
    <w:rsid w:val="00630F35"/>
    <w:rsid w:val="00631259"/>
    <w:rsid w:val="00631419"/>
    <w:rsid w:val="006330E7"/>
    <w:rsid w:val="006333CD"/>
    <w:rsid w:val="006340C7"/>
    <w:rsid w:val="006359CE"/>
    <w:rsid w:val="00635D33"/>
    <w:rsid w:val="00636085"/>
    <w:rsid w:val="00637A0F"/>
    <w:rsid w:val="00637A57"/>
    <w:rsid w:val="00641A28"/>
    <w:rsid w:val="00641F6B"/>
    <w:rsid w:val="00642833"/>
    <w:rsid w:val="00642879"/>
    <w:rsid w:val="00642E58"/>
    <w:rsid w:val="006438EB"/>
    <w:rsid w:val="006454EA"/>
    <w:rsid w:val="006463C3"/>
    <w:rsid w:val="00647B92"/>
    <w:rsid w:val="00650276"/>
    <w:rsid w:val="00650CC7"/>
    <w:rsid w:val="00651711"/>
    <w:rsid w:val="00651C3E"/>
    <w:rsid w:val="006525B3"/>
    <w:rsid w:val="006529A9"/>
    <w:rsid w:val="006529B9"/>
    <w:rsid w:val="0065426D"/>
    <w:rsid w:val="0065428D"/>
    <w:rsid w:val="006549E0"/>
    <w:rsid w:val="00655AAB"/>
    <w:rsid w:val="006605E0"/>
    <w:rsid w:val="0066187D"/>
    <w:rsid w:val="00661ABB"/>
    <w:rsid w:val="00661B6A"/>
    <w:rsid w:val="00661F11"/>
    <w:rsid w:val="006628C2"/>
    <w:rsid w:val="00663A6C"/>
    <w:rsid w:val="00663C55"/>
    <w:rsid w:val="00664C39"/>
    <w:rsid w:val="00670899"/>
    <w:rsid w:val="00670E7A"/>
    <w:rsid w:val="00673FAC"/>
    <w:rsid w:val="00674324"/>
    <w:rsid w:val="006750C2"/>
    <w:rsid w:val="006755B6"/>
    <w:rsid w:val="00675A8C"/>
    <w:rsid w:val="006771EF"/>
    <w:rsid w:val="00677EFF"/>
    <w:rsid w:val="006804D4"/>
    <w:rsid w:val="00680DD8"/>
    <w:rsid w:val="00680ECE"/>
    <w:rsid w:val="00681A11"/>
    <w:rsid w:val="006830CA"/>
    <w:rsid w:val="006832B8"/>
    <w:rsid w:val="0068372F"/>
    <w:rsid w:val="00685B33"/>
    <w:rsid w:val="00686827"/>
    <w:rsid w:val="00686B5B"/>
    <w:rsid w:val="00687FAC"/>
    <w:rsid w:val="00691683"/>
    <w:rsid w:val="00696076"/>
    <w:rsid w:val="00697C4E"/>
    <w:rsid w:val="006A040C"/>
    <w:rsid w:val="006A0F7E"/>
    <w:rsid w:val="006A3EB9"/>
    <w:rsid w:val="006A3FB6"/>
    <w:rsid w:val="006A5A1F"/>
    <w:rsid w:val="006A6B98"/>
    <w:rsid w:val="006A7693"/>
    <w:rsid w:val="006B0097"/>
    <w:rsid w:val="006B0BBE"/>
    <w:rsid w:val="006B1BB6"/>
    <w:rsid w:val="006B3ACE"/>
    <w:rsid w:val="006B4007"/>
    <w:rsid w:val="006B48F4"/>
    <w:rsid w:val="006B4FB0"/>
    <w:rsid w:val="006B71BC"/>
    <w:rsid w:val="006C0376"/>
    <w:rsid w:val="006C175E"/>
    <w:rsid w:val="006C1DA9"/>
    <w:rsid w:val="006C20E7"/>
    <w:rsid w:val="006C40E0"/>
    <w:rsid w:val="006C4EF5"/>
    <w:rsid w:val="006C66CB"/>
    <w:rsid w:val="006C68A0"/>
    <w:rsid w:val="006C6FA1"/>
    <w:rsid w:val="006D0034"/>
    <w:rsid w:val="006D3A57"/>
    <w:rsid w:val="006D3B4A"/>
    <w:rsid w:val="006D47AA"/>
    <w:rsid w:val="006D48AC"/>
    <w:rsid w:val="006D630D"/>
    <w:rsid w:val="006D7626"/>
    <w:rsid w:val="006E0556"/>
    <w:rsid w:val="006E1F91"/>
    <w:rsid w:val="006E261D"/>
    <w:rsid w:val="006E56B4"/>
    <w:rsid w:val="006E5A1C"/>
    <w:rsid w:val="006E6D47"/>
    <w:rsid w:val="006F02F9"/>
    <w:rsid w:val="006F055D"/>
    <w:rsid w:val="006F092F"/>
    <w:rsid w:val="006F0CF9"/>
    <w:rsid w:val="006F130B"/>
    <w:rsid w:val="006F16E1"/>
    <w:rsid w:val="006F2E1B"/>
    <w:rsid w:val="006F36BB"/>
    <w:rsid w:val="006F3C75"/>
    <w:rsid w:val="006F55C9"/>
    <w:rsid w:val="006F562A"/>
    <w:rsid w:val="006F6719"/>
    <w:rsid w:val="006F7621"/>
    <w:rsid w:val="00700143"/>
    <w:rsid w:val="00700461"/>
    <w:rsid w:val="00700F02"/>
    <w:rsid w:val="0070162D"/>
    <w:rsid w:val="007016E3"/>
    <w:rsid w:val="00701BE0"/>
    <w:rsid w:val="007029C1"/>
    <w:rsid w:val="00702B57"/>
    <w:rsid w:val="00702FEF"/>
    <w:rsid w:val="00703583"/>
    <w:rsid w:val="00703AB3"/>
    <w:rsid w:val="00705786"/>
    <w:rsid w:val="00705B0A"/>
    <w:rsid w:val="00705E2A"/>
    <w:rsid w:val="007070D4"/>
    <w:rsid w:val="00707B17"/>
    <w:rsid w:val="00710566"/>
    <w:rsid w:val="00710D9C"/>
    <w:rsid w:val="00710FC1"/>
    <w:rsid w:val="0071238F"/>
    <w:rsid w:val="00712507"/>
    <w:rsid w:val="007125CE"/>
    <w:rsid w:val="00712FD9"/>
    <w:rsid w:val="00714504"/>
    <w:rsid w:val="00714E4A"/>
    <w:rsid w:val="00715558"/>
    <w:rsid w:val="0071680D"/>
    <w:rsid w:val="007173EF"/>
    <w:rsid w:val="00717507"/>
    <w:rsid w:val="007178A5"/>
    <w:rsid w:val="0072155B"/>
    <w:rsid w:val="00722556"/>
    <w:rsid w:val="007226D2"/>
    <w:rsid w:val="00722859"/>
    <w:rsid w:val="00723E7B"/>
    <w:rsid w:val="00724815"/>
    <w:rsid w:val="00726271"/>
    <w:rsid w:val="0072653E"/>
    <w:rsid w:val="00726B20"/>
    <w:rsid w:val="00726B24"/>
    <w:rsid w:val="00727FF1"/>
    <w:rsid w:val="0073025C"/>
    <w:rsid w:val="00731C0B"/>
    <w:rsid w:val="00732A28"/>
    <w:rsid w:val="00733296"/>
    <w:rsid w:val="00734CF5"/>
    <w:rsid w:val="00735B3C"/>
    <w:rsid w:val="00737A47"/>
    <w:rsid w:val="00737B0B"/>
    <w:rsid w:val="00737BAD"/>
    <w:rsid w:val="00740FDD"/>
    <w:rsid w:val="00741850"/>
    <w:rsid w:val="007422CA"/>
    <w:rsid w:val="007430C8"/>
    <w:rsid w:val="00744801"/>
    <w:rsid w:val="00744976"/>
    <w:rsid w:val="00746FB5"/>
    <w:rsid w:val="00747091"/>
    <w:rsid w:val="00747734"/>
    <w:rsid w:val="00750F02"/>
    <w:rsid w:val="00752117"/>
    <w:rsid w:val="00753107"/>
    <w:rsid w:val="007546EC"/>
    <w:rsid w:val="00754B4A"/>
    <w:rsid w:val="00754E40"/>
    <w:rsid w:val="00755F81"/>
    <w:rsid w:val="0075619D"/>
    <w:rsid w:val="00756B32"/>
    <w:rsid w:val="00757B73"/>
    <w:rsid w:val="00760517"/>
    <w:rsid w:val="0076111A"/>
    <w:rsid w:val="00761724"/>
    <w:rsid w:val="00761C78"/>
    <w:rsid w:val="00761CBB"/>
    <w:rsid w:val="00761F00"/>
    <w:rsid w:val="00764BCF"/>
    <w:rsid w:val="00765500"/>
    <w:rsid w:val="00766F52"/>
    <w:rsid w:val="0076714F"/>
    <w:rsid w:val="007726C1"/>
    <w:rsid w:val="00772EE3"/>
    <w:rsid w:val="00773F52"/>
    <w:rsid w:val="007741E9"/>
    <w:rsid w:val="00774629"/>
    <w:rsid w:val="00774969"/>
    <w:rsid w:val="00774DDE"/>
    <w:rsid w:val="007766C2"/>
    <w:rsid w:val="007807A4"/>
    <w:rsid w:val="00782D20"/>
    <w:rsid w:val="007836C0"/>
    <w:rsid w:val="00785D3E"/>
    <w:rsid w:val="00786702"/>
    <w:rsid w:val="00786D6F"/>
    <w:rsid w:val="00787A0E"/>
    <w:rsid w:val="00787FA8"/>
    <w:rsid w:val="00790E47"/>
    <w:rsid w:val="00794850"/>
    <w:rsid w:val="0079503A"/>
    <w:rsid w:val="00795408"/>
    <w:rsid w:val="007963E6"/>
    <w:rsid w:val="00797547"/>
    <w:rsid w:val="00797C09"/>
    <w:rsid w:val="007A013A"/>
    <w:rsid w:val="007A01E0"/>
    <w:rsid w:val="007A040F"/>
    <w:rsid w:val="007A2903"/>
    <w:rsid w:val="007A32FB"/>
    <w:rsid w:val="007A37D4"/>
    <w:rsid w:val="007A380C"/>
    <w:rsid w:val="007A44C4"/>
    <w:rsid w:val="007A4D73"/>
    <w:rsid w:val="007A5B93"/>
    <w:rsid w:val="007A6AE3"/>
    <w:rsid w:val="007A7561"/>
    <w:rsid w:val="007A7645"/>
    <w:rsid w:val="007B038B"/>
    <w:rsid w:val="007B1653"/>
    <w:rsid w:val="007B2004"/>
    <w:rsid w:val="007B2EF3"/>
    <w:rsid w:val="007B4F1F"/>
    <w:rsid w:val="007B5970"/>
    <w:rsid w:val="007C02C8"/>
    <w:rsid w:val="007C116B"/>
    <w:rsid w:val="007C3101"/>
    <w:rsid w:val="007C3E30"/>
    <w:rsid w:val="007C5310"/>
    <w:rsid w:val="007C65D5"/>
    <w:rsid w:val="007C6FB0"/>
    <w:rsid w:val="007C7B06"/>
    <w:rsid w:val="007D00EB"/>
    <w:rsid w:val="007D0A23"/>
    <w:rsid w:val="007D1F64"/>
    <w:rsid w:val="007D252E"/>
    <w:rsid w:val="007D2775"/>
    <w:rsid w:val="007D39A3"/>
    <w:rsid w:val="007D41C5"/>
    <w:rsid w:val="007D48C9"/>
    <w:rsid w:val="007D6619"/>
    <w:rsid w:val="007D6A6D"/>
    <w:rsid w:val="007D6B05"/>
    <w:rsid w:val="007D6CE3"/>
    <w:rsid w:val="007E09D5"/>
    <w:rsid w:val="007E10D6"/>
    <w:rsid w:val="007E3090"/>
    <w:rsid w:val="007E324A"/>
    <w:rsid w:val="007E3522"/>
    <w:rsid w:val="007E42F8"/>
    <w:rsid w:val="007E48A0"/>
    <w:rsid w:val="007E5197"/>
    <w:rsid w:val="007E7A8A"/>
    <w:rsid w:val="007F118E"/>
    <w:rsid w:val="007F1C3A"/>
    <w:rsid w:val="007F2551"/>
    <w:rsid w:val="007F283D"/>
    <w:rsid w:val="007F29A2"/>
    <w:rsid w:val="007F2D8D"/>
    <w:rsid w:val="007F364C"/>
    <w:rsid w:val="007F3C04"/>
    <w:rsid w:val="007F42AB"/>
    <w:rsid w:val="007F5107"/>
    <w:rsid w:val="007F5E05"/>
    <w:rsid w:val="007F62CE"/>
    <w:rsid w:val="007F72F2"/>
    <w:rsid w:val="00800F00"/>
    <w:rsid w:val="00800FCC"/>
    <w:rsid w:val="00801053"/>
    <w:rsid w:val="00802CD9"/>
    <w:rsid w:val="00804720"/>
    <w:rsid w:val="008048FD"/>
    <w:rsid w:val="0080556F"/>
    <w:rsid w:val="0080574A"/>
    <w:rsid w:val="00805FF6"/>
    <w:rsid w:val="008063FD"/>
    <w:rsid w:val="008073B4"/>
    <w:rsid w:val="00811A16"/>
    <w:rsid w:val="00811BB1"/>
    <w:rsid w:val="00811FFF"/>
    <w:rsid w:val="008128F5"/>
    <w:rsid w:val="00813078"/>
    <w:rsid w:val="008133E0"/>
    <w:rsid w:val="00813627"/>
    <w:rsid w:val="008137CB"/>
    <w:rsid w:val="00813B2A"/>
    <w:rsid w:val="00814708"/>
    <w:rsid w:val="0081586C"/>
    <w:rsid w:val="00815F5B"/>
    <w:rsid w:val="0081614E"/>
    <w:rsid w:val="008163E8"/>
    <w:rsid w:val="00816A8F"/>
    <w:rsid w:val="00816F66"/>
    <w:rsid w:val="00817391"/>
    <w:rsid w:val="00817EF1"/>
    <w:rsid w:val="0082046B"/>
    <w:rsid w:val="00821313"/>
    <w:rsid w:val="00821A74"/>
    <w:rsid w:val="008220FD"/>
    <w:rsid w:val="00822DD8"/>
    <w:rsid w:val="00823BA8"/>
    <w:rsid w:val="00826356"/>
    <w:rsid w:val="00827236"/>
    <w:rsid w:val="00827D67"/>
    <w:rsid w:val="00830277"/>
    <w:rsid w:val="00830A5A"/>
    <w:rsid w:val="00830B88"/>
    <w:rsid w:val="00831465"/>
    <w:rsid w:val="00832A82"/>
    <w:rsid w:val="008343A8"/>
    <w:rsid w:val="00834941"/>
    <w:rsid w:val="00835A0D"/>
    <w:rsid w:val="00835A8A"/>
    <w:rsid w:val="00835D45"/>
    <w:rsid w:val="0083622B"/>
    <w:rsid w:val="008369F5"/>
    <w:rsid w:val="00837729"/>
    <w:rsid w:val="00837AE2"/>
    <w:rsid w:val="00840B15"/>
    <w:rsid w:val="00840F16"/>
    <w:rsid w:val="00842F8A"/>
    <w:rsid w:val="0084346C"/>
    <w:rsid w:val="00844CBF"/>
    <w:rsid w:val="00844D33"/>
    <w:rsid w:val="00844D6C"/>
    <w:rsid w:val="00846771"/>
    <w:rsid w:val="00846CB4"/>
    <w:rsid w:val="008474A0"/>
    <w:rsid w:val="008474FD"/>
    <w:rsid w:val="0084794E"/>
    <w:rsid w:val="008479CA"/>
    <w:rsid w:val="0085085F"/>
    <w:rsid w:val="008510D8"/>
    <w:rsid w:val="00852A3C"/>
    <w:rsid w:val="00854698"/>
    <w:rsid w:val="00854FD3"/>
    <w:rsid w:val="008555F8"/>
    <w:rsid w:val="008563A3"/>
    <w:rsid w:val="008578B7"/>
    <w:rsid w:val="00860B6B"/>
    <w:rsid w:val="00861091"/>
    <w:rsid w:val="00861342"/>
    <w:rsid w:val="008616B8"/>
    <w:rsid w:val="00862359"/>
    <w:rsid w:val="0086323B"/>
    <w:rsid w:val="0086347B"/>
    <w:rsid w:val="0086380B"/>
    <w:rsid w:val="008663DC"/>
    <w:rsid w:val="00866C41"/>
    <w:rsid w:val="00867025"/>
    <w:rsid w:val="00867F17"/>
    <w:rsid w:val="0087172D"/>
    <w:rsid w:val="00871F67"/>
    <w:rsid w:val="00872465"/>
    <w:rsid w:val="00873A32"/>
    <w:rsid w:val="00873DB3"/>
    <w:rsid w:val="008742C1"/>
    <w:rsid w:val="00874A8B"/>
    <w:rsid w:val="00875645"/>
    <w:rsid w:val="00877E3B"/>
    <w:rsid w:val="00880BFA"/>
    <w:rsid w:val="00881044"/>
    <w:rsid w:val="0088111E"/>
    <w:rsid w:val="0088133B"/>
    <w:rsid w:val="008815F5"/>
    <w:rsid w:val="008818A8"/>
    <w:rsid w:val="00881BF5"/>
    <w:rsid w:val="0088211B"/>
    <w:rsid w:val="00882361"/>
    <w:rsid w:val="00886B65"/>
    <w:rsid w:val="0088711A"/>
    <w:rsid w:val="008876CE"/>
    <w:rsid w:val="008900F9"/>
    <w:rsid w:val="00890AC3"/>
    <w:rsid w:val="00891830"/>
    <w:rsid w:val="00891D97"/>
    <w:rsid w:val="00891F50"/>
    <w:rsid w:val="00892453"/>
    <w:rsid w:val="00892CFA"/>
    <w:rsid w:val="00892E44"/>
    <w:rsid w:val="0089353F"/>
    <w:rsid w:val="00893A44"/>
    <w:rsid w:val="00893A4B"/>
    <w:rsid w:val="008955A5"/>
    <w:rsid w:val="00897093"/>
    <w:rsid w:val="00897BE3"/>
    <w:rsid w:val="008A06EB"/>
    <w:rsid w:val="008A2372"/>
    <w:rsid w:val="008A2542"/>
    <w:rsid w:val="008A29D6"/>
    <w:rsid w:val="008A56B6"/>
    <w:rsid w:val="008B0867"/>
    <w:rsid w:val="008B0EC6"/>
    <w:rsid w:val="008B16A0"/>
    <w:rsid w:val="008B561A"/>
    <w:rsid w:val="008B63D8"/>
    <w:rsid w:val="008B6DB8"/>
    <w:rsid w:val="008B7E27"/>
    <w:rsid w:val="008C253A"/>
    <w:rsid w:val="008C3ACF"/>
    <w:rsid w:val="008C3D4E"/>
    <w:rsid w:val="008C5AB2"/>
    <w:rsid w:val="008C6626"/>
    <w:rsid w:val="008C6A74"/>
    <w:rsid w:val="008C6F40"/>
    <w:rsid w:val="008C7BB0"/>
    <w:rsid w:val="008C7D57"/>
    <w:rsid w:val="008D09C5"/>
    <w:rsid w:val="008D1196"/>
    <w:rsid w:val="008D247E"/>
    <w:rsid w:val="008D2EB9"/>
    <w:rsid w:val="008D369B"/>
    <w:rsid w:val="008D36DF"/>
    <w:rsid w:val="008D3886"/>
    <w:rsid w:val="008D4B10"/>
    <w:rsid w:val="008D5D38"/>
    <w:rsid w:val="008D6615"/>
    <w:rsid w:val="008D68FB"/>
    <w:rsid w:val="008E03FC"/>
    <w:rsid w:val="008E1453"/>
    <w:rsid w:val="008E2691"/>
    <w:rsid w:val="008E2833"/>
    <w:rsid w:val="008E3017"/>
    <w:rsid w:val="008E3E8C"/>
    <w:rsid w:val="008E4FB3"/>
    <w:rsid w:val="008E5EB6"/>
    <w:rsid w:val="008E7B56"/>
    <w:rsid w:val="008F148E"/>
    <w:rsid w:val="008F4EF7"/>
    <w:rsid w:val="008F566E"/>
    <w:rsid w:val="008F6888"/>
    <w:rsid w:val="008F7895"/>
    <w:rsid w:val="00901925"/>
    <w:rsid w:val="00901DDC"/>
    <w:rsid w:val="00902C64"/>
    <w:rsid w:val="009034FC"/>
    <w:rsid w:val="00904DC9"/>
    <w:rsid w:val="00905742"/>
    <w:rsid w:val="00907E77"/>
    <w:rsid w:val="00907E96"/>
    <w:rsid w:val="00910ECA"/>
    <w:rsid w:val="00911C30"/>
    <w:rsid w:val="00912E66"/>
    <w:rsid w:val="00913367"/>
    <w:rsid w:val="00913D82"/>
    <w:rsid w:val="00914A23"/>
    <w:rsid w:val="00915E4A"/>
    <w:rsid w:val="0092013E"/>
    <w:rsid w:val="009220B0"/>
    <w:rsid w:val="00922520"/>
    <w:rsid w:val="00922896"/>
    <w:rsid w:val="00922B0A"/>
    <w:rsid w:val="009234B0"/>
    <w:rsid w:val="00923F2E"/>
    <w:rsid w:val="009255E6"/>
    <w:rsid w:val="009264E9"/>
    <w:rsid w:val="00926F19"/>
    <w:rsid w:val="009316BD"/>
    <w:rsid w:val="00931D7F"/>
    <w:rsid w:val="00931DF1"/>
    <w:rsid w:val="009325B6"/>
    <w:rsid w:val="00933940"/>
    <w:rsid w:val="00934B4D"/>
    <w:rsid w:val="00934DDA"/>
    <w:rsid w:val="009350FE"/>
    <w:rsid w:val="009372C5"/>
    <w:rsid w:val="0093765C"/>
    <w:rsid w:val="0094070A"/>
    <w:rsid w:val="0094129D"/>
    <w:rsid w:val="00941377"/>
    <w:rsid w:val="00941914"/>
    <w:rsid w:val="00941DD1"/>
    <w:rsid w:val="00942027"/>
    <w:rsid w:val="009436B3"/>
    <w:rsid w:val="00944E94"/>
    <w:rsid w:val="00945A7A"/>
    <w:rsid w:val="00947E6F"/>
    <w:rsid w:val="00950C41"/>
    <w:rsid w:val="00951237"/>
    <w:rsid w:val="00951403"/>
    <w:rsid w:val="00951B28"/>
    <w:rsid w:val="0095608C"/>
    <w:rsid w:val="0095761B"/>
    <w:rsid w:val="00957792"/>
    <w:rsid w:val="00961EEA"/>
    <w:rsid w:val="00961F91"/>
    <w:rsid w:val="00962621"/>
    <w:rsid w:val="00962E66"/>
    <w:rsid w:val="00964D9E"/>
    <w:rsid w:val="00965C47"/>
    <w:rsid w:val="00965F19"/>
    <w:rsid w:val="00966B87"/>
    <w:rsid w:val="00966CB4"/>
    <w:rsid w:val="009671D0"/>
    <w:rsid w:val="00967BB4"/>
    <w:rsid w:val="0097052C"/>
    <w:rsid w:val="0097124E"/>
    <w:rsid w:val="00971561"/>
    <w:rsid w:val="0097239B"/>
    <w:rsid w:val="00972F12"/>
    <w:rsid w:val="0097439C"/>
    <w:rsid w:val="00974DA3"/>
    <w:rsid w:val="00980331"/>
    <w:rsid w:val="00980710"/>
    <w:rsid w:val="00980F04"/>
    <w:rsid w:val="00981208"/>
    <w:rsid w:val="00982370"/>
    <w:rsid w:val="0098245A"/>
    <w:rsid w:val="00984D4B"/>
    <w:rsid w:val="00985026"/>
    <w:rsid w:val="0098518D"/>
    <w:rsid w:val="00985EB1"/>
    <w:rsid w:val="009867CB"/>
    <w:rsid w:val="00987B62"/>
    <w:rsid w:val="00987FFB"/>
    <w:rsid w:val="0099035B"/>
    <w:rsid w:val="0099040C"/>
    <w:rsid w:val="009916D0"/>
    <w:rsid w:val="00991CCF"/>
    <w:rsid w:val="009922F0"/>
    <w:rsid w:val="00992754"/>
    <w:rsid w:val="00993094"/>
    <w:rsid w:val="00993A00"/>
    <w:rsid w:val="009945EA"/>
    <w:rsid w:val="009963FA"/>
    <w:rsid w:val="00997A93"/>
    <w:rsid w:val="009A00D3"/>
    <w:rsid w:val="009A0F28"/>
    <w:rsid w:val="009A12AB"/>
    <w:rsid w:val="009A2A47"/>
    <w:rsid w:val="009A313F"/>
    <w:rsid w:val="009A3A22"/>
    <w:rsid w:val="009A49A2"/>
    <w:rsid w:val="009A4B1D"/>
    <w:rsid w:val="009A50BA"/>
    <w:rsid w:val="009A5922"/>
    <w:rsid w:val="009A6ADF"/>
    <w:rsid w:val="009A72D9"/>
    <w:rsid w:val="009B03FF"/>
    <w:rsid w:val="009B04B0"/>
    <w:rsid w:val="009B0D5A"/>
    <w:rsid w:val="009B1331"/>
    <w:rsid w:val="009B2A92"/>
    <w:rsid w:val="009B3F8B"/>
    <w:rsid w:val="009B4CC3"/>
    <w:rsid w:val="009B5C16"/>
    <w:rsid w:val="009B7A20"/>
    <w:rsid w:val="009B7A59"/>
    <w:rsid w:val="009B7ABE"/>
    <w:rsid w:val="009C13F0"/>
    <w:rsid w:val="009C2E89"/>
    <w:rsid w:val="009C2F76"/>
    <w:rsid w:val="009C5ECC"/>
    <w:rsid w:val="009C6673"/>
    <w:rsid w:val="009C7877"/>
    <w:rsid w:val="009C7BCD"/>
    <w:rsid w:val="009D1657"/>
    <w:rsid w:val="009D447D"/>
    <w:rsid w:val="009D6FFD"/>
    <w:rsid w:val="009D7B4D"/>
    <w:rsid w:val="009E4273"/>
    <w:rsid w:val="009E4DCB"/>
    <w:rsid w:val="009E7B79"/>
    <w:rsid w:val="009F118A"/>
    <w:rsid w:val="009F278A"/>
    <w:rsid w:val="009F2A77"/>
    <w:rsid w:val="009F4728"/>
    <w:rsid w:val="009F5A5B"/>
    <w:rsid w:val="009F63B1"/>
    <w:rsid w:val="009F66E8"/>
    <w:rsid w:val="009F7741"/>
    <w:rsid w:val="009F78B0"/>
    <w:rsid w:val="00A0277A"/>
    <w:rsid w:val="00A04BE2"/>
    <w:rsid w:val="00A14258"/>
    <w:rsid w:val="00A14EAA"/>
    <w:rsid w:val="00A16E56"/>
    <w:rsid w:val="00A20648"/>
    <w:rsid w:val="00A20E55"/>
    <w:rsid w:val="00A2129A"/>
    <w:rsid w:val="00A22158"/>
    <w:rsid w:val="00A24089"/>
    <w:rsid w:val="00A24318"/>
    <w:rsid w:val="00A256A0"/>
    <w:rsid w:val="00A27526"/>
    <w:rsid w:val="00A305F5"/>
    <w:rsid w:val="00A3128E"/>
    <w:rsid w:val="00A32BCD"/>
    <w:rsid w:val="00A32E32"/>
    <w:rsid w:val="00A35EF4"/>
    <w:rsid w:val="00A37BB7"/>
    <w:rsid w:val="00A40294"/>
    <w:rsid w:val="00A4161B"/>
    <w:rsid w:val="00A41AEF"/>
    <w:rsid w:val="00A4229F"/>
    <w:rsid w:val="00A45031"/>
    <w:rsid w:val="00A4504C"/>
    <w:rsid w:val="00A4793E"/>
    <w:rsid w:val="00A47E0D"/>
    <w:rsid w:val="00A51CD1"/>
    <w:rsid w:val="00A51E76"/>
    <w:rsid w:val="00A53E0D"/>
    <w:rsid w:val="00A54458"/>
    <w:rsid w:val="00A54AE7"/>
    <w:rsid w:val="00A54DAC"/>
    <w:rsid w:val="00A55585"/>
    <w:rsid w:val="00A55E22"/>
    <w:rsid w:val="00A56300"/>
    <w:rsid w:val="00A56436"/>
    <w:rsid w:val="00A567B8"/>
    <w:rsid w:val="00A56F6F"/>
    <w:rsid w:val="00A613C1"/>
    <w:rsid w:val="00A62436"/>
    <w:rsid w:val="00A627C5"/>
    <w:rsid w:val="00A63B96"/>
    <w:rsid w:val="00A649D7"/>
    <w:rsid w:val="00A65236"/>
    <w:rsid w:val="00A66BB7"/>
    <w:rsid w:val="00A714EF"/>
    <w:rsid w:val="00A725BB"/>
    <w:rsid w:val="00A73B25"/>
    <w:rsid w:val="00A746FF"/>
    <w:rsid w:val="00A76909"/>
    <w:rsid w:val="00A77879"/>
    <w:rsid w:val="00A77F7B"/>
    <w:rsid w:val="00A8049F"/>
    <w:rsid w:val="00A80AD3"/>
    <w:rsid w:val="00A80CB2"/>
    <w:rsid w:val="00A8132C"/>
    <w:rsid w:val="00A8430C"/>
    <w:rsid w:val="00A86FC6"/>
    <w:rsid w:val="00A87058"/>
    <w:rsid w:val="00A9068C"/>
    <w:rsid w:val="00A94825"/>
    <w:rsid w:val="00A96F82"/>
    <w:rsid w:val="00A971A9"/>
    <w:rsid w:val="00AA05AB"/>
    <w:rsid w:val="00AA2767"/>
    <w:rsid w:val="00AA4224"/>
    <w:rsid w:val="00AA4590"/>
    <w:rsid w:val="00AA523E"/>
    <w:rsid w:val="00AB0C0F"/>
    <w:rsid w:val="00AB1B27"/>
    <w:rsid w:val="00AB205D"/>
    <w:rsid w:val="00AB2B1A"/>
    <w:rsid w:val="00AB3727"/>
    <w:rsid w:val="00AB3ED7"/>
    <w:rsid w:val="00AB48A6"/>
    <w:rsid w:val="00AB4A48"/>
    <w:rsid w:val="00AB4FC2"/>
    <w:rsid w:val="00AB5B54"/>
    <w:rsid w:val="00AB5B7E"/>
    <w:rsid w:val="00AB76B0"/>
    <w:rsid w:val="00AB7E5E"/>
    <w:rsid w:val="00AC0068"/>
    <w:rsid w:val="00AC1201"/>
    <w:rsid w:val="00AC33BA"/>
    <w:rsid w:val="00AC3D02"/>
    <w:rsid w:val="00AC4CD2"/>
    <w:rsid w:val="00AC5FC1"/>
    <w:rsid w:val="00AC61E1"/>
    <w:rsid w:val="00AC6D57"/>
    <w:rsid w:val="00AC718C"/>
    <w:rsid w:val="00AD18A2"/>
    <w:rsid w:val="00AD236A"/>
    <w:rsid w:val="00AD3C73"/>
    <w:rsid w:val="00AD45D3"/>
    <w:rsid w:val="00AD4DDA"/>
    <w:rsid w:val="00AD7E2E"/>
    <w:rsid w:val="00AE05B5"/>
    <w:rsid w:val="00AE138C"/>
    <w:rsid w:val="00AE1696"/>
    <w:rsid w:val="00AE1C95"/>
    <w:rsid w:val="00AE27FD"/>
    <w:rsid w:val="00AE2BFB"/>
    <w:rsid w:val="00AE364A"/>
    <w:rsid w:val="00AE4229"/>
    <w:rsid w:val="00AE551B"/>
    <w:rsid w:val="00AE6F67"/>
    <w:rsid w:val="00AE7830"/>
    <w:rsid w:val="00AE78AD"/>
    <w:rsid w:val="00AF1551"/>
    <w:rsid w:val="00AF15F3"/>
    <w:rsid w:val="00AF1D19"/>
    <w:rsid w:val="00AF1FF4"/>
    <w:rsid w:val="00AF273A"/>
    <w:rsid w:val="00AF34B6"/>
    <w:rsid w:val="00AF3C09"/>
    <w:rsid w:val="00AF40D9"/>
    <w:rsid w:val="00AF47E2"/>
    <w:rsid w:val="00AF4D89"/>
    <w:rsid w:val="00AF58FB"/>
    <w:rsid w:val="00AF7BDD"/>
    <w:rsid w:val="00B00191"/>
    <w:rsid w:val="00B0093F"/>
    <w:rsid w:val="00B00C2E"/>
    <w:rsid w:val="00B00DC6"/>
    <w:rsid w:val="00B01C30"/>
    <w:rsid w:val="00B0256B"/>
    <w:rsid w:val="00B03248"/>
    <w:rsid w:val="00B0487D"/>
    <w:rsid w:val="00B06FE9"/>
    <w:rsid w:val="00B07993"/>
    <w:rsid w:val="00B07AFD"/>
    <w:rsid w:val="00B1030C"/>
    <w:rsid w:val="00B10DE0"/>
    <w:rsid w:val="00B10F62"/>
    <w:rsid w:val="00B11442"/>
    <w:rsid w:val="00B11518"/>
    <w:rsid w:val="00B121B3"/>
    <w:rsid w:val="00B12E09"/>
    <w:rsid w:val="00B12EAE"/>
    <w:rsid w:val="00B142FC"/>
    <w:rsid w:val="00B15719"/>
    <w:rsid w:val="00B16A6D"/>
    <w:rsid w:val="00B176F8"/>
    <w:rsid w:val="00B20B5D"/>
    <w:rsid w:val="00B20E3E"/>
    <w:rsid w:val="00B21A96"/>
    <w:rsid w:val="00B21B2A"/>
    <w:rsid w:val="00B232F6"/>
    <w:rsid w:val="00B2456F"/>
    <w:rsid w:val="00B26CAE"/>
    <w:rsid w:val="00B2744B"/>
    <w:rsid w:val="00B30948"/>
    <w:rsid w:val="00B31198"/>
    <w:rsid w:val="00B31949"/>
    <w:rsid w:val="00B3226A"/>
    <w:rsid w:val="00B33ACB"/>
    <w:rsid w:val="00B34498"/>
    <w:rsid w:val="00B345D2"/>
    <w:rsid w:val="00B34B10"/>
    <w:rsid w:val="00B35A2F"/>
    <w:rsid w:val="00B36A86"/>
    <w:rsid w:val="00B36C0F"/>
    <w:rsid w:val="00B37EE5"/>
    <w:rsid w:val="00B408F0"/>
    <w:rsid w:val="00B41CD0"/>
    <w:rsid w:val="00B4380A"/>
    <w:rsid w:val="00B4448C"/>
    <w:rsid w:val="00B460AB"/>
    <w:rsid w:val="00B460E2"/>
    <w:rsid w:val="00B51F6C"/>
    <w:rsid w:val="00B51F97"/>
    <w:rsid w:val="00B54ED6"/>
    <w:rsid w:val="00B56619"/>
    <w:rsid w:val="00B57CE2"/>
    <w:rsid w:val="00B57EE9"/>
    <w:rsid w:val="00B603A4"/>
    <w:rsid w:val="00B60A07"/>
    <w:rsid w:val="00B61147"/>
    <w:rsid w:val="00B61692"/>
    <w:rsid w:val="00B63F86"/>
    <w:rsid w:val="00B64013"/>
    <w:rsid w:val="00B642E7"/>
    <w:rsid w:val="00B648C7"/>
    <w:rsid w:val="00B65E6A"/>
    <w:rsid w:val="00B665CE"/>
    <w:rsid w:val="00B6677A"/>
    <w:rsid w:val="00B6695D"/>
    <w:rsid w:val="00B66D8F"/>
    <w:rsid w:val="00B66DAB"/>
    <w:rsid w:val="00B6724D"/>
    <w:rsid w:val="00B67B8D"/>
    <w:rsid w:val="00B71AC4"/>
    <w:rsid w:val="00B71B7D"/>
    <w:rsid w:val="00B7446E"/>
    <w:rsid w:val="00B74747"/>
    <w:rsid w:val="00B74DA1"/>
    <w:rsid w:val="00B80163"/>
    <w:rsid w:val="00B804DE"/>
    <w:rsid w:val="00B81C99"/>
    <w:rsid w:val="00B83FCC"/>
    <w:rsid w:val="00B8408E"/>
    <w:rsid w:val="00B8410A"/>
    <w:rsid w:val="00B843CA"/>
    <w:rsid w:val="00B858CD"/>
    <w:rsid w:val="00B85DB4"/>
    <w:rsid w:val="00B901DB"/>
    <w:rsid w:val="00B901EA"/>
    <w:rsid w:val="00B90B3E"/>
    <w:rsid w:val="00B911D7"/>
    <w:rsid w:val="00B915EB"/>
    <w:rsid w:val="00B91A6B"/>
    <w:rsid w:val="00B9262D"/>
    <w:rsid w:val="00B94C5D"/>
    <w:rsid w:val="00B94FB2"/>
    <w:rsid w:val="00B95AB6"/>
    <w:rsid w:val="00B95E94"/>
    <w:rsid w:val="00B97DBD"/>
    <w:rsid w:val="00BA0141"/>
    <w:rsid w:val="00BA127E"/>
    <w:rsid w:val="00BA2F5E"/>
    <w:rsid w:val="00BA47BB"/>
    <w:rsid w:val="00BA4EA6"/>
    <w:rsid w:val="00BA531B"/>
    <w:rsid w:val="00BA5DB9"/>
    <w:rsid w:val="00BA6F73"/>
    <w:rsid w:val="00BA7683"/>
    <w:rsid w:val="00BB0BB3"/>
    <w:rsid w:val="00BB1022"/>
    <w:rsid w:val="00BB1FB3"/>
    <w:rsid w:val="00BB3A66"/>
    <w:rsid w:val="00BB68AC"/>
    <w:rsid w:val="00BC007E"/>
    <w:rsid w:val="00BC128B"/>
    <w:rsid w:val="00BC13C7"/>
    <w:rsid w:val="00BC2840"/>
    <w:rsid w:val="00BC2D71"/>
    <w:rsid w:val="00BC3693"/>
    <w:rsid w:val="00BC48DA"/>
    <w:rsid w:val="00BC6261"/>
    <w:rsid w:val="00BC6976"/>
    <w:rsid w:val="00BC6EB6"/>
    <w:rsid w:val="00BC7E80"/>
    <w:rsid w:val="00BD0D21"/>
    <w:rsid w:val="00BD1E84"/>
    <w:rsid w:val="00BD2DF7"/>
    <w:rsid w:val="00BD4059"/>
    <w:rsid w:val="00BD43AA"/>
    <w:rsid w:val="00BD5657"/>
    <w:rsid w:val="00BD605B"/>
    <w:rsid w:val="00BE12AE"/>
    <w:rsid w:val="00BE1FAB"/>
    <w:rsid w:val="00BE289E"/>
    <w:rsid w:val="00BE2C9F"/>
    <w:rsid w:val="00BE2E23"/>
    <w:rsid w:val="00BE2EF0"/>
    <w:rsid w:val="00BE33D6"/>
    <w:rsid w:val="00BE3FA2"/>
    <w:rsid w:val="00BE520E"/>
    <w:rsid w:val="00BE713A"/>
    <w:rsid w:val="00BF08B1"/>
    <w:rsid w:val="00BF0C18"/>
    <w:rsid w:val="00BF2088"/>
    <w:rsid w:val="00BF2865"/>
    <w:rsid w:val="00BF2A4D"/>
    <w:rsid w:val="00BF2DF7"/>
    <w:rsid w:val="00BF3D26"/>
    <w:rsid w:val="00BF5BE8"/>
    <w:rsid w:val="00BF6895"/>
    <w:rsid w:val="00BF697B"/>
    <w:rsid w:val="00BF713B"/>
    <w:rsid w:val="00BF748D"/>
    <w:rsid w:val="00C011D3"/>
    <w:rsid w:val="00C01232"/>
    <w:rsid w:val="00C01E4E"/>
    <w:rsid w:val="00C02382"/>
    <w:rsid w:val="00C02581"/>
    <w:rsid w:val="00C02B14"/>
    <w:rsid w:val="00C03C39"/>
    <w:rsid w:val="00C04B82"/>
    <w:rsid w:val="00C05E42"/>
    <w:rsid w:val="00C06C45"/>
    <w:rsid w:val="00C07025"/>
    <w:rsid w:val="00C0744C"/>
    <w:rsid w:val="00C07A0F"/>
    <w:rsid w:val="00C103E6"/>
    <w:rsid w:val="00C104C7"/>
    <w:rsid w:val="00C10B17"/>
    <w:rsid w:val="00C10B50"/>
    <w:rsid w:val="00C10B56"/>
    <w:rsid w:val="00C1229B"/>
    <w:rsid w:val="00C14A7F"/>
    <w:rsid w:val="00C15631"/>
    <w:rsid w:val="00C1568F"/>
    <w:rsid w:val="00C15FC7"/>
    <w:rsid w:val="00C164E3"/>
    <w:rsid w:val="00C17307"/>
    <w:rsid w:val="00C17C63"/>
    <w:rsid w:val="00C17EAE"/>
    <w:rsid w:val="00C21BA6"/>
    <w:rsid w:val="00C220B2"/>
    <w:rsid w:val="00C2282B"/>
    <w:rsid w:val="00C22FF3"/>
    <w:rsid w:val="00C23D7E"/>
    <w:rsid w:val="00C24C14"/>
    <w:rsid w:val="00C2555E"/>
    <w:rsid w:val="00C26014"/>
    <w:rsid w:val="00C26A69"/>
    <w:rsid w:val="00C26F9D"/>
    <w:rsid w:val="00C3003C"/>
    <w:rsid w:val="00C31C5B"/>
    <w:rsid w:val="00C321CF"/>
    <w:rsid w:val="00C329B5"/>
    <w:rsid w:val="00C33CAD"/>
    <w:rsid w:val="00C3476D"/>
    <w:rsid w:val="00C35B06"/>
    <w:rsid w:val="00C35B7E"/>
    <w:rsid w:val="00C363CB"/>
    <w:rsid w:val="00C36704"/>
    <w:rsid w:val="00C36DA0"/>
    <w:rsid w:val="00C37DE4"/>
    <w:rsid w:val="00C40006"/>
    <w:rsid w:val="00C400D2"/>
    <w:rsid w:val="00C40A05"/>
    <w:rsid w:val="00C40B6F"/>
    <w:rsid w:val="00C4410F"/>
    <w:rsid w:val="00C45A0F"/>
    <w:rsid w:val="00C460F3"/>
    <w:rsid w:val="00C4625E"/>
    <w:rsid w:val="00C46687"/>
    <w:rsid w:val="00C466CA"/>
    <w:rsid w:val="00C46C35"/>
    <w:rsid w:val="00C46ED1"/>
    <w:rsid w:val="00C47ECB"/>
    <w:rsid w:val="00C505BC"/>
    <w:rsid w:val="00C50F3B"/>
    <w:rsid w:val="00C5139A"/>
    <w:rsid w:val="00C51459"/>
    <w:rsid w:val="00C5179D"/>
    <w:rsid w:val="00C54FEE"/>
    <w:rsid w:val="00C55113"/>
    <w:rsid w:val="00C558E1"/>
    <w:rsid w:val="00C5641D"/>
    <w:rsid w:val="00C57739"/>
    <w:rsid w:val="00C608D4"/>
    <w:rsid w:val="00C60ED4"/>
    <w:rsid w:val="00C61476"/>
    <w:rsid w:val="00C64080"/>
    <w:rsid w:val="00C64508"/>
    <w:rsid w:val="00C65895"/>
    <w:rsid w:val="00C65A32"/>
    <w:rsid w:val="00C701A9"/>
    <w:rsid w:val="00C707A1"/>
    <w:rsid w:val="00C749F8"/>
    <w:rsid w:val="00C74E42"/>
    <w:rsid w:val="00C75C81"/>
    <w:rsid w:val="00C76F09"/>
    <w:rsid w:val="00C771F2"/>
    <w:rsid w:val="00C778F6"/>
    <w:rsid w:val="00C8226B"/>
    <w:rsid w:val="00C82601"/>
    <w:rsid w:val="00C829C4"/>
    <w:rsid w:val="00C82A82"/>
    <w:rsid w:val="00C82D1A"/>
    <w:rsid w:val="00C853BC"/>
    <w:rsid w:val="00C8558C"/>
    <w:rsid w:val="00C8730F"/>
    <w:rsid w:val="00C91D80"/>
    <w:rsid w:val="00C921D8"/>
    <w:rsid w:val="00C9491E"/>
    <w:rsid w:val="00C95817"/>
    <w:rsid w:val="00C962DF"/>
    <w:rsid w:val="00C96741"/>
    <w:rsid w:val="00C96D7A"/>
    <w:rsid w:val="00C96DC8"/>
    <w:rsid w:val="00C96E13"/>
    <w:rsid w:val="00C97717"/>
    <w:rsid w:val="00CA02F1"/>
    <w:rsid w:val="00CA1301"/>
    <w:rsid w:val="00CA16B0"/>
    <w:rsid w:val="00CA1DAF"/>
    <w:rsid w:val="00CA2F55"/>
    <w:rsid w:val="00CA3376"/>
    <w:rsid w:val="00CA3650"/>
    <w:rsid w:val="00CA4596"/>
    <w:rsid w:val="00CA48CA"/>
    <w:rsid w:val="00CA5414"/>
    <w:rsid w:val="00CA587E"/>
    <w:rsid w:val="00CB0489"/>
    <w:rsid w:val="00CB1906"/>
    <w:rsid w:val="00CB55A2"/>
    <w:rsid w:val="00CB5880"/>
    <w:rsid w:val="00CB5C08"/>
    <w:rsid w:val="00CB658D"/>
    <w:rsid w:val="00CB6E9D"/>
    <w:rsid w:val="00CB7D6C"/>
    <w:rsid w:val="00CC193C"/>
    <w:rsid w:val="00CC27D5"/>
    <w:rsid w:val="00CC33BC"/>
    <w:rsid w:val="00CC33E1"/>
    <w:rsid w:val="00CC454D"/>
    <w:rsid w:val="00CC4E5B"/>
    <w:rsid w:val="00CC5D3A"/>
    <w:rsid w:val="00CC5F69"/>
    <w:rsid w:val="00CC7BB7"/>
    <w:rsid w:val="00CD0741"/>
    <w:rsid w:val="00CD08C4"/>
    <w:rsid w:val="00CD11FD"/>
    <w:rsid w:val="00CD28D4"/>
    <w:rsid w:val="00CD4F0E"/>
    <w:rsid w:val="00CD5FE9"/>
    <w:rsid w:val="00CD6F79"/>
    <w:rsid w:val="00CE1C82"/>
    <w:rsid w:val="00CE2190"/>
    <w:rsid w:val="00CE25E6"/>
    <w:rsid w:val="00CE28FF"/>
    <w:rsid w:val="00CE4B52"/>
    <w:rsid w:val="00CE50BA"/>
    <w:rsid w:val="00CE5EAC"/>
    <w:rsid w:val="00CE634C"/>
    <w:rsid w:val="00CE6CA6"/>
    <w:rsid w:val="00CF0006"/>
    <w:rsid w:val="00CF0F7F"/>
    <w:rsid w:val="00CF41A4"/>
    <w:rsid w:val="00CF546F"/>
    <w:rsid w:val="00CF7825"/>
    <w:rsid w:val="00CF7EC7"/>
    <w:rsid w:val="00D0042A"/>
    <w:rsid w:val="00D00BDC"/>
    <w:rsid w:val="00D01015"/>
    <w:rsid w:val="00D01D48"/>
    <w:rsid w:val="00D034D3"/>
    <w:rsid w:val="00D03D07"/>
    <w:rsid w:val="00D048E6"/>
    <w:rsid w:val="00D054FB"/>
    <w:rsid w:val="00D055D9"/>
    <w:rsid w:val="00D05BAF"/>
    <w:rsid w:val="00D065E4"/>
    <w:rsid w:val="00D10190"/>
    <w:rsid w:val="00D10822"/>
    <w:rsid w:val="00D112B1"/>
    <w:rsid w:val="00D11363"/>
    <w:rsid w:val="00D12A47"/>
    <w:rsid w:val="00D132A8"/>
    <w:rsid w:val="00D13F40"/>
    <w:rsid w:val="00D20030"/>
    <w:rsid w:val="00D21028"/>
    <w:rsid w:val="00D21942"/>
    <w:rsid w:val="00D22EA7"/>
    <w:rsid w:val="00D25191"/>
    <w:rsid w:val="00D26888"/>
    <w:rsid w:val="00D26B98"/>
    <w:rsid w:val="00D26C1D"/>
    <w:rsid w:val="00D26E0E"/>
    <w:rsid w:val="00D30A24"/>
    <w:rsid w:val="00D31670"/>
    <w:rsid w:val="00D317C8"/>
    <w:rsid w:val="00D33118"/>
    <w:rsid w:val="00D333EA"/>
    <w:rsid w:val="00D339D9"/>
    <w:rsid w:val="00D3416E"/>
    <w:rsid w:val="00D34CE4"/>
    <w:rsid w:val="00D34FD6"/>
    <w:rsid w:val="00D35C80"/>
    <w:rsid w:val="00D36619"/>
    <w:rsid w:val="00D36F96"/>
    <w:rsid w:val="00D3795B"/>
    <w:rsid w:val="00D40036"/>
    <w:rsid w:val="00D40384"/>
    <w:rsid w:val="00D40A89"/>
    <w:rsid w:val="00D418D2"/>
    <w:rsid w:val="00D422B9"/>
    <w:rsid w:val="00D43588"/>
    <w:rsid w:val="00D441A8"/>
    <w:rsid w:val="00D44532"/>
    <w:rsid w:val="00D44ECB"/>
    <w:rsid w:val="00D45BF7"/>
    <w:rsid w:val="00D4658F"/>
    <w:rsid w:val="00D47606"/>
    <w:rsid w:val="00D47FC3"/>
    <w:rsid w:val="00D502F0"/>
    <w:rsid w:val="00D50B6E"/>
    <w:rsid w:val="00D50CFA"/>
    <w:rsid w:val="00D50DA0"/>
    <w:rsid w:val="00D5220F"/>
    <w:rsid w:val="00D52340"/>
    <w:rsid w:val="00D53466"/>
    <w:rsid w:val="00D56DF0"/>
    <w:rsid w:val="00D6013A"/>
    <w:rsid w:val="00D60684"/>
    <w:rsid w:val="00D6186E"/>
    <w:rsid w:val="00D61B2F"/>
    <w:rsid w:val="00D61E14"/>
    <w:rsid w:val="00D636F4"/>
    <w:rsid w:val="00D64681"/>
    <w:rsid w:val="00D65288"/>
    <w:rsid w:val="00D66B46"/>
    <w:rsid w:val="00D67B6A"/>
    <w:rsid w:val="00D7066F"/>
    <w:rsid w:val="00D70D1D"/>
    <w:rsid w:val="00D7120D"/>
    <w:rsid w:val="00D715DC"/>
    <w:rsid w:val="00D71EDF"/>
    <w:rsid w:val="00D72131"/>
    <w:rsid w:val="00D728E0"/>
    <w:rsid w:val="00D72B85"/>
    <w:rsid w:val="00D72E58"/>
    <w:rsid w:val="00D72FE7"/>
    <w:rsid w:val="00D7308B"/>
    <w:rsid w:val="00D7341F"/>
    <w:rsid w:val="00D737C9"/>
    <w:rsid w:val="00D73E7E"/>
    <w:rsid w:val="00D743ED"/>
    <w:rsid w:val="00D74CC1"/>
    <w:rsid w:val="00D753A1"/>
    <w:rsid w:val="00D75E0D"/>
    <w:rsid w:val="00D75E4A"/>
    <w:rsid w:val="00D76E62"/>
    <w:rsid w:val="00D7746B"/>
    <w:rsid w:val="00D80123"/>
    <w:rsid w:val="00D806DC"/>
    <w:rsid w:val="00D81083"/>
    <w:rsid w:val="00D81647"/>
    <w:rsid w:val="00D81CD3"/>
    <w:rsid w:val="00D83019"/>
    <w:rsid w:val="00D848F3"/>
    <w:rsid w:val="00D857EE"/>
    <w:rsid w:val="00D85D0D"/>
    <w:rsid w:val="00D8632E"/>
    <w:rsid w:val="00D86AB3"/>
    <w:rsid w:val="00D870FA"/>
    <w:rsid w:val="00D87D2C"/>
    <w:rsid w:val="00D920F0"/>
    <w:rsid w:val="00D9444C"/>
    <w:rsid w:val="00D956B3"/>
    <w:rsid w:val="00D96D9C"/>
    <w:rsid w:val="00D96FB8"/>
    <w:rsid w:val="00D9744F"/>
    <w:rsid w:val="00DA146E"/>
    <w:rsid w:val="00DA1E83"/>
    <w:rsid w:val="00DA2E62"/>
    <w:rsid w:val="00DA44B8"/>
    <w:rsid w:val="00DA62C3"/>
    <w:rsid w:val="00DA63EB"/>
    <w:rsid w:val="00DA657D"/>
    <w:rsid w:val="00DB057F"/>
    <w:rsid w:val="00DB0CF5"/>
    <w:rsid w:val="00DB5499"/>
    <w:rsid w:val="00DB5D63"/>
    <w:rsid w:val="00DB5E24"/>
    <w:rsid w:val="00DB6E30"/>
    <w:rsid w:val="00DC079B"/>
    <w:rsid w:val="00DC23A9"/>
    <w:rsid w:val="00DC328C"/>
    <w:rsid w:val="00DC464E"/>
    <w:rsid w:val="00DC5AA1"/>
    <w:rsid w:val="00DC65C3"/>
    <w:rsid w:val="00DC6A94"/>
    <w:rsid w:val="00DC7869"/>
    <w:rsid w:val="00DC7A54"/>
    <w:rsid w:val="00DD046C"/>
    <w:rsid w:val="00DD085B"/>
    <w:rsid w:val="00DD0F02"/>
    <w:rsid w:val="00DD1E28"/>
    <w:rsid w:val="00DD1E5B"/>
    <w:rsid w:val="00DD3483"/>
    <w:rsid w:val="00DD3535"/>
    <w:rsid w:val="00DD35D9"/>
    <w:rsid w:val="00DD37CB"/>
    <w:rsid w:val="00DD4776"/>
    <w:rsid w:val="00DD665B"/>
    <w:rsid w:val="00DD6B95"/>
    <w:rsid w:val="00DD701C"/>
    <w:rsid w:val="00DD7AD4"/>
    <w:rsid w:val="00DE0BEE"/>
    <w:rsid w:val="00DE13AB"/>
    <w:rsid w:val="00DE28C4"/>
    <w:rsid w:val="00DE36E2"/>
    <w:rsid w:val="00DE3EB1"/>
    <w:rsid w:val="00DE4415"/>
    <w:rsid w:val="00DE5050"/>
    <w:rsid w:val="00DE55E5"/>
    <w:rsid w:val="00DE69A3"/>
    <w:rsid w:val="00DE73F1"/>
    <w:rsid w:val="00DF1379"/>
    <w:rsid w:val="00DF1F51"/>
    <w:rsid w:val="00DF27A3"/>
    <w:rsid w:val="00DF2FF5"/>
    <w:rsid w:val="00DF67CA"/>
    <w:rsid w:val="00DF6CBA"/>
    <w:rsid w:val="00DF75AF"/>
    <w:rsid w:val="00DF77AC"/>
    <w:rsid w:val="00E00ABF"/>
    <w:rsid w:val="00E01133"/>
    <w:rsid w:val="00E01924"/>
    <w:rsid w:val="00E01986"/>
    <w:rsid w:val="00E01EA6"/>
    <w:rsid w:val="00E02923"/>
    <w:rsid w:val="00E029BB"/>
    <w:rsid w:val="00E033D7"/>
    <w:rsid w:val="00E0462D"/>
    <w:rsid w:val="00E128ED"/>
    <w:rsid w:val="00E139D5"/>
    <w:rsid w:val="00E14911"/>
    <w:rsid w:val="00E1532C"/>
    <w:rsid w:val="00E1583D"/>
    <w:rsid w:val="00E17423"/>
    <w:rsid w:val="00E200DD"/>
    <w:rsid w:val="00E20D29"/>
    <w:rsid w:val="00E2184D"/>
    <w:rsid w:val="00E21F36"/>
    <w:rsid w:val="00E22751"/>
    <w:rsid w:val="00E22FA7"/>
    <w:rsid w:val="00E235B2"/>
    <w:rsid w:val="00E2384B"/>
    <w:rsid w:val="00E240F8"/>
    <w:rsid w:val="00E244AC"/>
    <w:rsid w:val="00E248E5"/>
    <w:rsid w:val="00E25F5C"/>
    <w:rsid w:val="00E26CA3"/>
    <w:rsid w:val="00E26E41"/>
    <w:rsid w:val="00E305C1"/>
    <w:rsid w:val="00E329E5"/>
    <w:rsid w:val="00E33932"/>
    <w:rsid w:val="00E33DB2"/>
    <w:rsid w:val="00E363FB"/>
    <w:rsid w:val="00E36B4A"/>
    <w:rsid w:val="00E36BD7"/>
    <w:rsid w:val="00E37A40"/>
    <w:rsid w:val="00E37BBF"/>
    <w:rsid w:val="00E37D9D"/>
    <w:rsid w:val="00E40A43"/>
    <w:rsid w:val="00E4147E"/>
    <w:rsid w:val="00E42131"/>
    <w:rsid w:val="00E421CE"/>
    <w:rsid w:val="00E428CC"/>
    <w:rsid w:val="00E429B8"/>
    <w:rsid w:val="00E4599A"/>
    <w:rsid w:val="00E460FB"/>
    <w:rsid w:val="00E4705D"/>
    <w:rsid w:val="00E51A1A"/>
    <w:rsid w:val="00E528CC"/>
    <w:rsid w:val="00E52E31"/>
    <w:rsid w:val="00E52EA3"/>
    <w:rsid w:val="00E5351E"/>
    <w:rsid w:val="00E53910"/>
    <w:rsid w:val="00E5446E"/>
    <w:rsid w:val="00E55DF9"/>
    <w:rsid w:val="00E566B6"/>
    <w:rsid w:val="00E57050"/>
    <w:rsid w:val="00E6090B"/>
    <w:rsid w:val="00E611F8"/>
    <w:rsid w:val="00E625EF"/>
    <w:rsid w:val="00E62BB7"/>
    <w:rsid w:val="00E62E86"/>
    <w:rsid w:val="00E631DC"/>
    <w:rsid w:val="00E65788"/>
    <w:rsid w:val="00E664B3"/>
    <w:rsid w:val="00E67DCE"/>
    <w:rsid w:val="00E67DD4"/>
    <w:rsid w:val="00E70905"/>
    <w:rsid w:val="00E716DE"/>
    <w:rsid w:val="00E71E43"/>
    <w:rsid w:val="00E736BB"/>
    <w:rsid w:val="00E741C3"/>
    <w:rsid w:val="00E75488"/>
    <w:rsid w:val="00E80FEA"/>
    <w:rsid w:val="00E8143A"/>
    <w:rsid w:val="00E821D1"/>
    <w:rsid w:val="00E827D2"/>
    <w:rsid w:val="00E836CC"/>
    <w:rsid w:val="00E83ED1"/>
    <w:rsid w:val="00E8535D"/>
    <w:rsid w:val="00E86395"/>
    <w:rsid w:val="00E8735E"/>
    <w:rsid w:val="00E903D0"/>
    <w:rsid w:val="00E9075D"/>
    <w:rsid w:val="00E913C2"/>
    <w:rsid w:val="00E9289E"/>
    <w:rsid w:val="00E94AC9"/>
    <w:rsid w:val="00E94CAA"/>
    <w:rsid w:val="00E95707"/>
    <w:rsid w:val="00E9592E"/>
    <w:rsid w:val="00E96343"/>
    <w:rsid w:val="00E968DE"/>
    <w:rsid w:val="00E96FEF"/>
    <w:rsid w:val="00E97266"/>
    <w:rsid w:val="00EA0265"/>
    <w:rsid w:val="00EA0834"/>
    <w:rsid w:val="00EA0AEB"/>
    <w:rsid w:val="00EA1437"/>
    <w:rsid w:val="00EA25AF"/>
    <w:rsid w:val="00EA2807"/>
    <w:rsid w:val="00EA3210"/>
    <w:rsid w:val="00EA32D6"/>
    <w:rsid w:val="00EA33BF"/>
    <w:rsid w:val="00EA36E1"/>
    <w:rsid w:val="00EA49E8"/>
    <w:rsid w:val="00EA5DEB"/>
    <w:rsid w:val="00EA5E3F"/>
    <w:rsid w:val="00EA62FA"/>
    <w:rsid w:val="00EB08D2"/>
    <w:rsid w:val="00EB2547"/>
    <w:rsid w:val="00EB25C0"/>
    <w:rsid w:val="00EB34FF"/>
    <w:rsid w:val="00EB3784"/>
    <w:rsid w:val="00EC0513"/>
    <w:rsid w:val="00EC0729"/>
    <w:rsid w:val="00EC0A5B"/>
    <w:rsid w:val="00EC1BCA"/>
    <w:rsid w:val="00EC1EDF"/>
    <w:rsid w:val="00EC225A"/>
    <w:rsid w:val="00EC24F8"/>
    <w:rsid w:val="00EC2B8B"/>
    <w:rsid w:val="00EC2F0E"/>
    <w:rsid w:val="00EC3403"/>
    <w:rsid w:val="00EC364C"/>
    <w:rsid w:val="00EC3EE4"/>
    <w:rsid w:val="00EC3F31"/>
    <w:rsid w:val="00EC4771"/>
    <w:rsid w:val="00EC4D3E"/>
    <w:rsid w:val="00EC5F85"/>
    <w:rsid w:val="00EC60DB"/>
    <w:rsid w:val="00EC6EE0"/>
    <w:rsid w:val="00EC7367"/>
    <w:rsid w:val="00EC79A5"/>
    <w:rsid w:val="00ED0BBE"/>
    <w:rsid w:val="00ED132B"/>
    <w:rsid w:val="00ED1930"/>
    <w:rsid w:val="00ED2CDD"/>
    <w:rsid w:val="00ED44AC"/>
    <w:rsid w:val="00ED5510"/>
    <w:rsid w:val="00ED55D4"/>
    <w:rsid w:val="00ED6792"/>
    <w:rsid w:val="00ED7554"/>
    <w:rsid w:val="00ED78F1"/>
    <w:rsid w:val="00EE10D0"/>
    <w:rsid w:val="00EE138F"/>
    <w:rsid w:val="00EE1887"/>
    <w:rsid w:val="00EE1C24"/>
    <w:rsid w:val="00EE2F88"/>
    <w:rsid w:val="00EE630C"/>
    <w:rsid w:val="00EE664C"/>
    <w:rsid w:val="00EE66DF"/>
    <w:rsid w:val="00EF0DA2"/>
    <w:rsid w:val="00EF1B60"/>
    <w:rsid w:val="00EF250F"/>
    <w:rsid w:val="00EF2C61"/>
    <w:rsid w:val="00EF460E"/>
    <w:rsid w:val="00EF4691"/>
    <w:rsid w:val="00EF4A01"/>
    <w:rsid w:val="00EF4CA2"/>
    <w:rsid w:val="00EF6046"/>
    <w:rsid w:val="00EF686A"/>
    <w:rsid w:val="00EF7F54"/>
    <w:rsid w:val="00EF7F6F"/>
    <w:rsid w:val="00F01107"/>
    <w:rsid w:val="00F0181B"/>
    <w:rsid w:val="00F022C4"/>
    <w:rsid w:val="00F03776"/>
    <w:rsid w:val="00F071B3"/>
    <w:rsid w:val="00F07DED"/>
    <w:rsid w:val="00F10463"/>
    <w:rsid w:val="00F11714"/>
    <w:rsid w:val="00F12C52"/>
    <w:rsid w:val="00F13D04"/>
    <w:rsid w:val="00F144C2"/>
    <w:rsid w:val="00F15471"/>
    <w:rsid w:val="00F17023"/>
    <w:rsid w:val="00F17B7E"/>
    <w:rsid w:val="00F224EB"/>
    <w:rsid w:val="00F23444"/>
    <w:rsid w:val="00F25344"/>
    <w:rsid w:val="00F2567C"/>
    <w:rsid w:val="00F25CC9"/>
    <w:rsid w:val="00F26D4C"/>
    <w:rsid w:val="00F26EB6"/>
    <w:rsid w:val="00F271F5"/>
    <w:rsid w:val="00F27CA3"/>
    <w:rsid w:val="00F31D80"/>
    <w:rsid w:val="00F32781"/>
    <w:rsid w:val="00F32C25"/>
    <w:rsid w:val="00F33E10"/>
    <w:rsid w:val="00F3427D"/>
    <w:rsid w:val="00F36523"/>
    <w:rsid w:val="00F375A8"/>
    <w:rsid w:val="00F378B2"/>
    <w:rsid w:val="00F37EDF"/>
    <w:rsid w:val="00F428DF"/>
    <w:rsid w:val="00F431A0"/>
    <w:rsid w:val="00F455FF"/>
    <w:rsid w:val="00F46021"/>
    <w:rsid w:val="00F4623C"/>
    <w:rsid w:val="00F467F1"/>
    <w:rsid w:val="00F46CCE"/>
    <w:rsid w:val="00F472C7"/>
    <w:rsid w:val="00F50C34"/>
    <w:rsid w:val="00F5623C"/>
    <w:rsid w:val="00F5677D"/>
    <w:rsid w:val="00F56CAF"/>
    <w:rsid w:val="00F5751B"/>
    <w:rsid w:val="00F60D49"/>
    <w:rsid w:val="00F65BD2"/>
    <w:rsid w:val="00F66771"/>
    <w:rsid w:val="00F67302"/>
    <w:rsid w:val="00F67350"/>
    <w:rsid w:val="00F72225"/>
    <w:rsid w:val="00F72C13"/>
    <w:rsid w:val="00F735B9"/>
    <w:rsid w:val="00F741E9"/>
    <w:rsid w:val="00F75072"/>
    <w:rsid w:val="00F77D64"/>
    <w:rsid w:val="00F80C89"/>
    <w:rsid w:val="00F81C50"/>
    <w:rsid w:val="00F83AEE"/>
    <w:rsid w:val="00F83ED0"/>
    <w:rsid w:val="00F83F9E"/>
    <w:rsid w:val="00F842DA"/>
    <w:rsid w:val="00F84597"/>
    <w:rsid w:val="00F85C45"/>
    <w:rsid w:val="00F865A7"/>
    <w:rsid w:val="00F86742"/>
    <w:rsid w:val="00F8751F"/>
    <w:rsid w:val="00F87A34"/>
    <w:rsid w:val="00F87B0E"/>
    <w:rsid w:val="00F87E82"/>
    <w:rsid w:val="00F91936"/>
    <w:rsid w:val="00F91A10"/>
    <w:rsid w:val="00F92490"/>
    <w:rsid w:val="00F939C9"/>
    <w:rsid w:val="00F9403F"/>
    <w:rsid w:val="00F94B7A"/>
    <w:rsid w:val="00F960A8"/>
    <w:rsid w:val="00F96660"/>
    <w:rsid w:val="00FA0CA1"/>
    <w:rsid w:val="00FA1B34"/>
    <w:rsid w:val="00FA56DA"/>
    <w:rsid w:val="00FB00EB"/>
    <w:rsid w:val="00FB0F00"/>
    <w:rsid w:val="00FB10DF"/>
    <w:rsid w:val="00FB1271"/>
    <w:rsid w:val="00FB2D84"/>
    <w:rsid w:val="00FB58D5"/>
    <w:rsid w:val="00FB6A6D"/>
    <w:rsid w:val="00FB7EC1"/>
    <w:rsid w:val="00FC09D9"/>
    <w:rsid w:val="00FC0E0A"/>
    <w:rsid w:val="00FC2956"/>
    <w:rsid w:val="00FC2BAE"/>
    <w:rsid w:val="00FC314D"/>
    <w:rsid w:val="00FC32D5"/>
    <w:rsid w:val="00FC36D5"/>
    <w:rsid w:val="00FC3D1C"/>
    <w:rsid w:val="00FC5395"/>
    <w:rsid w:val="00FC54F8"/>
    <w:rsid w:val="00FC7493"/>
    <w:rsid w:val="00FC7C45"/>
    <w:rsid w:val="00FD14F1"/>
    <w:rsid w:val="00FD21FB"/>
    <w:rsid w:val="00FD225F"/>
    <w:rsid w:val="00FD2678"/>
    <w:rsid w:val="00FD29CF"/>
    <w:rsid w:val="00FD37F0"/>
    <w:rsid w:val="00FD66A8"/>
    <w:rsid w:val="00FD6F4B"/>
    <w:rsid w:val="00FE1848"/>
    <w:rsid w:val="00FE5806"/>
    <w:rsid w:val="00FE597D"/>
    <w:rsid w:val="00FE6471"/>
    <w:rsid w:val="00FF3FB0"/>
    <w:rsid w:val="00FF4125"/>
    <w:rsid w:val="00FF48BA"/>
    <w:rsid w:val="00FF57B4"/>
    <w:rsid w:val="00FF597B"/>
    <w:rsid w:val="00FF64FB"/>
    <w:rsid w:val="00FF6FDC"/>
    <w:rsid w:val="00FF715E"/>
    <w:rsid w:val="00FF78DD"/>
    <w:rsid w:val="00FF79C6"/>
    <w:rsid w:val="00FF7C07"/>
    <w:rsid w:val="01282087"/>
    <w:rsid w:val="021452CC"/>
    <w:rsid w:val="021A6BFE"/>
    <w:rsid w:val="02A903DA"/>
    <w:rsid w:val="02AB3506"/>
    <w:rsid w:val="02E82256"/>
    <w:rsid w:val="03DF2676"/>
    <w:rsid w:val="03F30B72"/>
    <w:rsid w:val="043B434E"/>
    <w:rsid w:val="043C47C8"/>
    <w:rsid w:val="06671CB6"/>
    <w:rsid w:val="06AC04F4"/>
    <w:rsid w:val="07430542"/>
    <w:rsid w:val="079D0658"/>
    <w:rsid w:val="07BE71CD"/>
    <w:rsid w:val="084A2DE9"/>
    <w:rsid w:val="086066A1"/>
    <w:rsid w:val="09077985"/>
    <w:rsid w:val="094352BD"/>
    <w:rsid w:val="09770EDC"/>
    <w:rsid w:val="0A716B70"/>
    <w:rsid w:val="0AC23935"/>
    <w:rsid w:val="0AEA37D1"/>
    <w:rsid w:val="0BCF161A"/>
    <w:rsid w:val="0BD065D0"/>
    <w:rsid w:val="0BE42F8E"/>
    <w:rsid w:val="0C5C4670"/>
    <w:rsid w:val="0D8C0C0C"/>
    <w:rsid w:val="0E140D03"/>
    <w:rsid w:val="0E6E641B"/>
    <w:rsid w:val="0EC246A0"/>
    <w:rsid w:val="0F622327"/>
    <w:rsid w:val="108A7866"/>
    <w:rsid w:val="10C92302"/>
    <w:rsid w:val="140B4E05"/>
    <w:rsid w:val="16045BB5"/>
    <w:rsid w:val="16942A90"/>
    <w:rsid w:val="17BF1DA1"/>
    <w:rsid w:val="182E4DAB"/>
    <w:rsid w:val="19821CCC"/>
    <w:rsid w:val="198A27F6"/>
    <w:rsid w:val="198B1163"/>
    <w:rsid w:val="1A5133E0"/>
    <w:rsid w:val="1B061AA1"/>
    <w:rsid w:val="1B546A0C"/>
    <w:rsid w:val="1BA03AB8"/>
    <w:rsid w:val="1CB61500"/>
    <w:rsid w:val="1ED435BE"/>
    <w:rsid w:val="1EDD4427"/>
    <w:rsid w:val="1F206697"/>
    <w:rsid w:val="1F332BDF"/>
    <w:rsid w:val="1FE7681A"/>
    <w:rsid w:val="1FF53364"/>
    <w:rsid w:val="20715E01"/>
    <w:rsid w:val="20D37D0C"/>
    <w:rsid w:val="20E1549C"/>
    <w:rsid w:val="24296E68"/>
    <w:rsid w:val="244B5293"/>
    <w:rsid w:val="24B14A6F"/>
    <w:rsid w:val="26F14779"/>
    <w:rsid w:val="272A1B3E"/>
    <w:rsid w:val="27AB487E"/>
    <w:rsid w:val="290D363B"/>
    <w:rsid w:val="29773C01"/>
    <w:rsid w:val="2A3C7947"/>
    <w:rsid w:val="2ABA4FFC"/>
    <w:rsid w:val="2B203059"/>
    <w:rsid w:val="2C783F32"/>
    <w:rsid w:val="2C7F337D"/>
    <w:rsid w:val="2C8111FB"/>
    <w:rsid w:val="2D953E23"/>
    <w:rsid w:val="2F034C89"/>
    <w:rsid w:val="2F065F8A"/>
    <w:rsid w:val="2F8C626A"/>
    <w:rsid w:val="300B7EF1"/>
    <w:rsid w:val="303518D3"/>
    <w:rsid w:val="30D807ED"/>
    <w:rsid w:val="30D82495"/>
    <w:rsid w:val="31AE37CA"/>
    <w:rsid w:val="31C37CAE"/>
    <w:rsid w:val="32030F55"/>
    <w:rsid w:val="322C0E0B"/>
    <w:rsid w:val="32417F0F"/>
    <w:rsid w:val="324F75F4"/>
    <w:rsid w:val="3305544F"/>
    <w:rsid w:val="33291D5B"/>
    <w:rsid w:val="33580A27"/>
    <w:rsid w:val="34996491"/>
    <w:rsid w:val="34C266F5"/>
    <w:rsid w:val="351E7F9C"/>
    <w:rsid w:val="353C2344"/>
    <w:rsid w:val="362557B5"/>
    <w:rsid w:val="367D7FC5"/>
    <w:rsid w:val="36C828A2"/>
    <w:rsid w:val="373B1AAE"/>
    <w:rsid w:val="375F1A0B"/>
    <w:rsid w:val="37AF0A22"/>
    <w:rsid w:val="37D25D03"/>
    <w:rsid w:val="392B24BD"/>
    <w:rsid w:val="39C34B10"/>
    <w:rsid w:val="39DA15F5"/>
    <w:rsid w:val="3A362982"/>
    <w:rsid w:val="3B3710E4"/>
    <w:rsid w:val="3B9A0537"/>
    <w:rsid w:val="3C966FFC"/>
    <w:rsid w:val="3CBD6A88"/>
    <w:rsid w:val="3D3E55EF"/>
    <w:rsid w:val="3F1C5DD2"/>
    <w:rsid w:val="3F386313"/>
    <w:rsid w:val="3FD71977"/>
    <w:rsid w:val="3FE952C4"/>
    <w:rsid w:val="40AD0D59"/>
    <w:rsid w:val="4140522E"/>
    <w:rsid w:val="41CC3BBB"/>
    <w:rsid w:val="424251B8"/>
    <w:rsid w:val="42E40DE9"/>
    <w:rsid w:val="4532528C"/>
    <w:rsid w:val="456D4CE1"/>
    <w:rsid w:val="45CC69D1"/>
    <w:rsid w:val="46590646"/>
    <w:rsid w:val="46874AAC"/>
    <w:rsid w:val="46A7159F"/>
    <w:rsid w:val="47093CDC"/>
    <w:rsid w:val="487918A0"/>
    <w:rsid w:val="48DE343B"/>
    <w:rsid w:val="48FE7585"/>
    <w:rsid w:val="491E05D7"/>
    <w:rsid w:val="499A6CB6"/>
    <w:rsid w:val="49F7646A"/>
    <w:rsid w:val="4D9D2588"/>
    <w:rsid w:val="4F114EE6"/>
    <w:rsid w:val="4F3F2DA0"/>
    <w:rsid w:val="4F4C4027"/>
    <w:rsid w:val="4F735E0D"/>
    <w:rsid w:val="4F8F4940"/>
    <w:rsid w:val="4F9E50E2"/>
    <w:rsid w:val="50400894"/>
    <w:rsid w:val="50EA51F6"/>
    <w:rsid w:val="529816CC"/>
    <w:rsid w:val="5357434A"/>
    <w:rsid w:val="539B36C9"/>
    <w:rsid w:val="556515CD"/>
    <w:rsid w:val="557C0D0B"/>
    <w:rsid w:val="557C1540"/>
    <w:rsid w:val="55AC29B6"/>
    <w:rsid w:val="55C4208C"/>
    <w:rsid w:val="566965CB"/>
    <w:rsid w:val="568A2D47"/>
    <w:rsid w:val="56C769F5"/>
    <w:rsid w:val="570C07C4"/>
    <w:rsid w:val="577427BA"/>
    <w:rsid w:val="57E26A5A"/>
    <w:rsid w:val="58000D0B"/>
    <w:rsid w:val="58782DAE"/>
    <w:rsid w:val="58863D47"/>
    <w:rsid w:val="58F43FF1"/>
    <w:rsid w:val="58FF4CE4"/>
    <w:rsid w:val="591344CD"/>
    <w:rsid w:val="59AD24E2"/>
    <w:rsid w:val="5A0634F9"/>
    <w:rsid w:val="5B6F792B"/>
    <w:rsid w:val="5BEA2445"/>
    <w:rsid w:val="5C44183C"/>
    <w:rsid w:val="5CE805D1"/>
    <w:rsid w:val="5D1F402D"/>
    <w:rsid w:val="5D2E3AF4"/>
    <w:rsid w:val="5D8604B8"/>
    <w:rsid w:val="5DBB310B"/>
    <w:rsid w:val="5DCA1FD2"/>
    <w:rsid w:val="5E8A2F26"/>
    <w:rsid w:val="5EDD0C4E"/>
    <w:rsid w:val="60485EA3"/>
    <w:rsid w:val="60B63DFF"/>
    <w:rsid w:val="60CF1EB5"/>
    <w:rsid w:val="61B33BCC"/>
    <w:rsid w:val="620473EF"/>
    <w:rsid w:val="63C76EF0"/>
    <w:rsid w:val="640D7FB8"/>
    <w:rsid w:val="64895F93"/>
    <w:rsid w:val="65290DE4"/>
    <w:rsid w:val="66426CCE"/>
    <w:rsid w:val="664C71FE"/>
    <w:rsid w:val="665D0961"/>
    <w:rsid w:val="66AF4F2F"/>
    <w:rsid w:val="67811F35"/>
    <w:rsid w:val="68D712D2"/>
    <w:rsid w:val="68FB6D37"/>
    <w:rsid w:val="69C364CF"/>
    <w:rsid w:val="6A5B65D6"/>
    <w:rsid w:val="6AD05A1C"/>
    <w:rsid w:val="6B5F1413"/>
    <w:rsid w:val="6BD92E84"/>
    <w:rsid w:val="6C0437FF"/>
    <w:rsid w:val="6C614D2C"/>
    <w:rsid w:val="6C714B6C"/>
    <w:rsid w:val="6C941B62"/>
    <w:rsid w:val="6D1F0735"/>
    <w:rsid w:val="6D562BB6"/>
    <w:rsid w:val="6D6E1C69"/>
    <w:rsid w:val="6DF83DFD"/>
    <w:rsid w:val="6F6C5526"/>
    <w:rsid w:val="6FEE644B"/>
    <w:rsid w:val="705F0C03"/>
    <w:rsid w:val="70903F25"/>
    <w:rsid w:val="70C718A5"/>
    <w:rsid w:val="71174D1A"/>
    <w:rsid w:val="73833F40"/>
    <w:rsid w:val="73A43766"/>
    <w:rsid w:val="74FA5BD3"/>
    <w:rsid w:val="750E226E"/>
    <w:rsid w:val="779628CB"/>
    <w:rsid w:val="780E080B"/>
    <w:rsid w:val="79C76192"/>
    <w:rsid w:val="7AD95A31"/>
    <w:rsid w:val="7B38052B"/>
    <w:rsid w:val="7BF21B23"/>
    <w:rsid w:val="7D9337D1"/>
    <w:rsid w:val="7DDE6195"/>
    <w:rsid w:val="7E056936"/>
    <w:rsid w:val="7E2A2E8C"/>
    <w:rsid w:val="7E8417F9"/>
    <w:rsid w:val="7EDF2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semiHidden="0" w:name="List Bullet"/>
    <w:lsdException w:unhideWhenUsed="0"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4"/>
    <w:qFormat/>
    <w:uiPriority w:val="0"/>
    <w:pPr>
      <w:keepNext/>
      <w:keepLines/>
      <w:spacing w:before="260" w:after="260" w:line="415" w:lineRule="auto"/>
      <w:outlineLvl w:val="1"/>
    </w:pPr>
    <w:rPr>
      <w:rFonts w:ascii="Calibri Light" w:hAnsi="Calibri Light" w:eastAsia="黑体"/>
      <w:b/>
      <w:bCs/>
      <w:szCs w:val="32"/>
    </w:rPr>
  </w:style>
  <w:style w:type="paragraph" w:styleId="4">
    <w:name w:val="heading 3"/>
    <w:basedOn w:val="1"/>
    <w:next w:val="1"/>
    <w:link w:val="25"/>
    <w:qFormat/>
    <w:uiPriority w:val="0"/>
    <w:pPr>
      <w:keepNext/>
      <w:keepLines/>
      <w:spacing w:before="260" w:after="260" w:line="416" w:lineRule="auto"/>
      <w:outlineLvl w:val="2"/>
    </w:pPr>
    <w:rPr>
      <w:rFonts w:ascii="Times New Roman" w:hAnsi="Times New Roman"/>
      <w:b/>
      <w:bCs/>
      <w:szCs w:val="32"/>
    </w:rPr>
  </w:style>
  <w:style w:type="paragraph" w:styleId="5">
    <w:name w:val="heading 5"/>
    <w:basedOn w:val="1"/>
    <w:next w:val="1"/>
    <w:link w:val="26"/>
    <w:qFormat/>
    <w:uiPriority w:val="0"/>
    <w:pPr>
      <w:keepNext/>
      <w:keepLines/>
      <w:spacing w:before="280" w:after="290" w:line="376" w:lineRule="auto"/>
      <w:outlineLvl w:val="4"/>
    </w:pPr>
    <w:rPr>
      <w:rFonts w:ascii="Times New Roman" w:hAnsi="Times New Roman"/>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240" w:lineRule="auto"/>
      <w:ind w:firstLine="420" w:firstLineChars="200"/>
    </w:pPr>
  </w:style>
  <w:style w:type="paragraph" w:styleId="7">
    <w:name w:val="annotation text"/>
    <w:basedOn w:val="1"/>
    <w:link w:val="27"/>
    <w:qFormat/>
    <w:uiPriority w:val="0"/>
    <w:pPr>
      <w:jc w:val="left"/>
    </w:pPr>
    <w:rPr>
      <w:rFonts w:ascii="Times New Roman" w:hAnsi="Times New Roman"/>
    </w:rPr>
  </w:style>
  <w:style w:type="paragraph" w:styleId="8">
    <w:name w:val="toc 3"/>
    <w:basedOn w:val="1"/>
    <w:next w:val="1"/>
    <w:unhideWhenUsed/>
    <w:qFormat/>
    <w:uiPriority w:val="39"/>
    <w:pPr>
      <w:ind w:left="840" w:leftChars="400"/>
    </w:pPr>
  </w:style>
  <w:style w:type="paragraph" w:styleId="9">
    <w:name w:val="Date"/>
    <w:basedOn w:val="1"/>
    <w:next w:val="1"/>
    <w:link w:val="28"/>
    <w:qFormat/>
    <w:uiPriority w:val="0"/>
    <w:pPr>
      <w:spacing w:line="240" w:lineRule="auto"/>
      <w:ind w:left="100" w:leftChars="2500"/>
    </w:pPr>
    <w:rPr>
      <w:rFonts w:ascii="Times New Roman" w:hAnsi="Times New Roman"/>
    </w:rPr>
  </w:style>
  <w:style w:type="paragraph" w:styleId="10">
    <w:name w:val="Balloon Text"/>
    <w:basedOn w:val="1"/>
    <w:link w:val="29"/>
    <w:qFormat/>
    <w:uiPriority w:val="0"/>
    <w:rPr>
      <w:rFonts w:ascii="Times New Roman" w:hAnsi="Times New Roman"/>
      <w:sz w:val="18"/>
      <w:szCs w:val="18"/>
    </w:rPr>
  </w:style>
  <w:style w:type="paragraph" w:styleId="11">
    <w:name w:val="footer"/>
    <w:basedOn w:val="1"/>
    <w:link w:val="30"/>
    <w:qFormat/>
    <w:uiPriority w:val="99"/>
    <w:pPr>
      <w:tabs>
        <w:tab w:val="center" w:pos="4153"/>
        <w:tab w:val="right" w:pos="8306"/>
      </w:tabs>
      <w:snapToGrid w:val="0"/>
      <w:jc w:val="left"/>
    </w:pPr>
    <w:rPr>
      <w:rFonts w:ascii="Times New Roman" w:hAnsi="Times New Roman"/>
      <w:sz w:val="18"/>
      <w:szCs w:val="18"/>
    </w:rPr>
  </w:style>
  <w:style w:type="paragraph" w:styleId="12">
    <w:name w:val="header"/>
    <w:basedOn w:val="1"/>
    <w:link w:val="3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3">
    <w:name w:val="toc 1"/>
    <w:basedOn w:val="1"/>
    <w:next w:val="1"/>
    <w:unhideWhenUsed/>
    <w:qFormat/>
    <w:uiPriority w:val="39"/>
    <w:pPr>
      <w:tabs>
        <w:tab w:val="right" w:leader="dot" w:pos="9736"/>
      </w:tabs>
      <w:jc w:val="center"/>
    </w:pPr>
  </w:style>
  <w:style w:type="paragraph" w:styleId="14">
    <w:name w:val="toc 2"/>
    <w:basedOn w:val="1"/>
    <w:next w:val="1"/>
    <w:unhideWhenUsed/>
    <w:qFormat/>
    <w:uiPriority w:val="39"/>
    <w:pPr>
      <w:ind w:left="420" w:leftChars="200"/>
    </w:pPr>
  </w:style>
  <w:style w:type="paragraph" w:styleId="15">
    <w:name w:val="Title"/>
    <w:basedOn w:val="1"/>
    <w:next w:val="1"/>
    <w:link w:val="32"/>
    <w:qFormat/>
    <w:uiPriority w:val="0"/>
    <w:pPr>
      <w:spacing w:beforeLines="50"/>
      <w:jc w:val="left"/>
      <w:outlineLvl w:val="0"/>
    </w:pPr>
    <w:rPr>
      <w:rFonts w:ascii="Times New Roman" w:hAnsi="Times New Roman"/>
      <w:b/>
      <w:bCs/>
      <w:szCs w:val="32"/>
    </w:rPr>
  </w:style>
  <w:style w:type="paragraph" w:styleId="16">
    <w:name w:val="annotation subject"/>
    <w:basedOn w:val="7"/>
    <w:next w:val="7"/>
    <w:link w:val="33"/>
    <w:unhideWhenUsed/>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qFormat/>
    <w:uiPriority w:val="0"/>
    <w:rPr>
      <w:rFonts w:ascii="Times New Roman" w:hAnsi="Times New Roman" w:eastAsia="宋体" w:cs="Times New Roman"/>
      <w:sz w:val="18"/>
      <w:szCs w:val="18"/>
    </w:rPr>
  </w:style>
  <w:style w:type="character" w:styleId="21">
    <w:name w:val="Hyperlink"/>
    <w:unhideWhenUsed/>
    <w:qFormat/>
    <w:uiPriority w:val="99"/>
    <w:rPr>
      <w:color w:val="0563C1"/>
      <w:u w:val="single"/>
    </w:rPr>
  </w:style>
  <w:style w:type="character" w:styleId="22">
    <w:name w:val="annotation reference"/>
    <w:qFormat/>
    <w:uiPriority w:val="0"/>
    <w:rPr>
      <w:sz w:val="21"/>
      <w:szCs w:val="21"/>
    </w:rPr>
  </w:style>
  <w:style w:type="character" w:customStyle="1" w:styleId="23">
    <w:name w:val="标题 1 字符"/>
    <w:link w:val="2"/>
    <w:qFormat/>
    <w:uiPriority w:val="0"/>
    <w:rPr>
      <w:b/>
      <w:bCs/>
      <w:kern w:val="44"/>
      <w:sz w:val="44"/>
      <w:szCs w:val="44"/>
    </w:rPr>
  </w:style>
  <w:style w:type="character" w:customStyle="1" w:styleId="24">
    <w:name w:val="标题 2 字符"/>
    <w:link w:val="3"/>
    <w:qFormat/>
    <w:uiPriority w:val="0"/>
    <w:rPr>
      <w:rFonts w:ascii="Calibri Light" w:hAnsi="Calibri Light" w:eastAsia="黑体" w:cs="Times New Roman"/>
      <w:b/>
      <w:bCs/>
      <w:kern w:val="2"/>
      <w:sz w:val="21"/>
      <w:szCs w:val="32"/>
    </w:rPr>
  </w:style>
  <w:style w:type="character" w:customStyle="1" w:styleId="25">
    <w:name w:val="标题 3 字符"/>
    <w:link w:val="4"/>
    <w:qFormat/>
    <w:uiPriority w:val="0"/>
    <w:rPr>
      <w:rFonts w:eastAsia="宋体"/>
      <w:b/>
      <w:bCs/>
      <w:kern w:val="2"/>
      <w:sz w:val="21"/>
      <w:szCs w:val="32"/>
    </w:rPr>
  </w:style>
  <w:style w:type="character" w:customStyle="1" w:styleId="26">
    <w:name w:val="标题 5 字符"/>
    <w:link w:val="5"/>
    <w:semiHidden/>
    <w:qFormat/>
    <w:uiPriority w:val="0"/>
    <w:rPr>
      <w:b/>
      <w:bCs/>
      <w:kern w:val="2"/>
      <w:sz w:val="28"/>
      <w:szCs w:val="28"/>
    </w:rPr>
  </w:style>
  <w:style w:type="character" w:customStyle="1" w:styleId="27">
    <w:name w:val="批注文字 字符"/>
    <w:link w:val="7"/>
    <w:qFormat/>
    <w:uiPriority w:val="0"/>
    <w:rPr>
      <w:kern w:val="2"/>
      <w:sz w:val="21"/>
      <w:szCs w:val="24"/>
    </w:rPr>
  </w:style>
  <w:style w:type="character" w:customStyle="1" w:styleId="28">
    <w:name w:val="日期 字符"/>
    <w:link w:val="9"/>
    <w:qFormat/>
    <w:uiPriority w:val="0"/>
    <w:rPr>
      <w:kern w:val="2"/>
      <w:sz w:val="21"/>
      <w:szCs w:val="24"/>
    </w:rPr>
  </w:style>
  <w:style w:type="character" w:customStyle="1" w:styleId="29">
    <w:name w:val="批注框文本 字符"/>
    <w:link w:val="10"/>
    <w:qFormat/>
    <w:uiPriority w:val="0"/>
    <w:rPr>
      <w:kern w:val="2"/>
      <w:sz w:val="18"/>
      <w:szCs w:val="18"/>
    </w:rPr>
  </w:style>
  <w:style w:type="character" w:customStyle="1" w:styleId="30">
    <w:name w:val="页脚 字符"/>
    <w:link w:val="11"/>
    <w:qFormat/>
    <w:uiPriority w:val="99"/>
    <w:rPr>
      <w:kern w:val="2"/>
      <w:sz w:val="18"/>
      <w:szCs w:val="18"/>
    </w:rPr>
  </w:style>
  <w:style w:type="character" w:customStyle="1" w:styleId="31">
    <w:name w:val="页眉 字符"/>
    <w:link w:val="12"/>
    <w:qFormat/>
    <w:uiPriority w:val="0"/>
    <w:rPr>
      <w:kern w:val="2"/>
      <w:sz w:val="18"/>
      <w:szCs w:val="18"/>
    </w:rPr>
  </w:style>
  <w:style w:type="character" w:customStyle="1" w:styleId="32">
    <w:name w:val="标题 字符"/>
    <w:link w:val="15"/>
    <w:qFormat/>
    <w:uiPriority w:val="0"/>
    <w:rPr>
      <w:rFonts w:ascii="Times New Roman" w:hAnsi="Times New Roman" w:eastAsia="宋体" w:cs="Times New Roman"/>
      <w:b/>
      <w:bCs/>
      <w:kern w:val="2"/>
      <w:sz w:val="21"/>
      <w:szCs w:val="32"/>
    </w:rPr>
  </w:style>
  <w:style w:type="character" w:customStyle="1" w:styleId="33">
    <w:name w:val="批注主题 字符"/>
    <w:link w:val="16"/>
    <w:semiHidden/>
    <w:qFormat/>
    <w:uiPriority w:val="0"/>
    <w:rPr>
      <w:rFonts w:ascii="Calibri" w:hAnsi="Calibri" w:eastAsia="宋体" w:cs="Times New Roman"/>
      <w:b/>
      <w:bCs/>
      <w:kern w:val="2"/>
      <w:sz w:val="21"/>
      <w:szCs w:val="24"/>
    </w:rPr>
  </w:style>
  <w:style w:type="paragraph" w:customStyle="1" w:styleId="34">
    <w:name w:val="列出段落1"/>
    <w:basedOn w:val="1"/>
    <w:unhideWhenUsed/>
    <w:qFormat/>
    <w:uiPriority w:val="34"/>
    <w:pPr>
      <w:ind w:firstLine="420" w:firstLineChars="200"/>
    </w:pPr>
  </w:style>
  <w:style w:type="paragraph" w:customStyle="1" w:styleId="35">
    <w:name w:val="文献分类号"/>
    <w:qFormat/>
    <w:uiPriority w:val="0"/>
    <w:pPr>
      <w:widowControl w:val="0"/>
      <w:jc w:val="both"/>
      <w:textAlignment w:val="center"/>
    </w:pPr>
    <w:rPr>
      <w:rFonts w:ascii="Times New Roman" w:hAnsi="Times New Roman" w:eastAsia="黑体" w:cs="Times New Roman"/>
      <w:sz w:val="21"/>
      <w:lang w:val="en-US" w:eastAsia="zh-CN" w:bidi="ar-SA"/>
    </w:rPr>
  </w:style>
  <w:style w:type="paragraph" w:customStyle="1" w:styleId="36">
    <w:name w:val="前言、引言标题"/>
    <w:next w:val="37"/>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7">
    <w:name w:val="段"/>
    <w:link w:val="3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38">
    <w:name w:val="段 Char"/>
    <w:link w:val="37"/>
    <w:qFormat/>
    <w:locked/>
    <w:uiPriority w:val="0"/>
    <w:rPr>
      <w:rFonts w:ascii="宋体"/>
      <w:sz w:val="21"/>
      <w:lang w:bidi="ar-SA"/>
    </w:rPr>
  </w:style>
  <w:style w:type="paragraph" w:customStyle="1" w:styleId="39">
    <w:name w:val="TOC 标题1"/>
    <w:basedOn w:val="2"/>
    <w:next w:val="1"/>
    <w:unhideWhenUsed/>
    <w:qFormat/>
    <w:uiPriority w:val="39"/>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40">
    <w:name w:val="三级标"/>
    <w:basedOn w:val="3"/>
    <w:link w:val="41"/>
    <w:qFormat/>
    <w:uiPriority w:val="0"/>
    <w:pPr>
      <w:spacing w:line="360" w:lineRule="auto"/>
    </w:pPr>
    <w:rPr>
      <w:rFonts w:ascii="Times New Roman" w:hAnsi="Times New Roman"/>
    </w:rPr>
  </w:style>
  <w:style w:type="character" w:customStyle="1" w:styleId="41">
    <w:name w:val="三级标 Char"/>
    <w:link w:val="40"/>
    <w:qFormat/>
    <w:uiPriority w:val="0"/>
    <w:rPr>
      <w:rFonts w:ascii="Times New Roman" w:hAnsi="Times New Roman" w:eastAsia="黑体" w:cs="Times New Roman"/>
      <w:b/>
      <w:bCs/>
      <w:kern w:val="2"/>
      <w:sz w:val="21"/>
      <w:szCs w:val="32"/>
    </w:rPr>
  </w:style>
  <w:style w:type="paragraph" w:styleId="42">
    <w:name w:val="List Paragraph"/>
    <w:basedOn w:val="1"/>
    <w:qFormat/>
    <w:uiPriority w:val="99"/>
    <w:pPr>
      <w:ind w:firstLine="420" w:firstLineChars="200"/>
    </w:pPr>
  </w:style>
  <w:style w:type="paragraph" w:customStyle="1" w:styleId="43">
    <w:name w:val="TOC 标题2"/>
    <w:basedOn w:val="2"/>
    <w:next w:val="1"/>
    <w:unhideWhenUsed/>
    <w:qFormat/>
    <w:uiPriority w:val="39"/>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44">
    <w:name w:val="目次、标准名称标题"/>
    <w:basedOn w:val="1"/>
    <w:next w:val="3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字母编号列项（一级）"/>
    <w:qFormat/>
    <w:uiPriority w:val="0"/>
    <w:pPr>
      <w:numPr>
        <w:ilvl w:val="0"/>
        <w:numId w:val="1"/>
      </w:numPr>
      <w:jc w:val="both"/>
    </w:pPr>
    <w:rPr>
      <w:rFonts w:ascii="宋体" w:hAnsi="Times New Roman" w:eastAsia="宋体" w:cs="Times New Roman"/>
      <w:sz w:val="21"/>
      <w:lang w:val="en-US" w:eastAsia="zh-CN" w:bidi="ar-SA"/>
    </w:rPr>
  </w:style>
  <w:style w:type="character" w:customStyle="1" w:styleId="48">
    <w:name w:val="发布"/>
    <w:qFormat/>
    <w:uiPriority w:val="0"/>
    <w:rPr>
      <w:rFonts w:ascii="黑体" w:eastAsia="黑体"/>
      <w:spacing w:val="22"/>
      <w:w w:val="100"/>
      <w:position w:val="3"/>
      <w:sz w:val="28"/>
    </w:rPr>
  </w:style>
  <w:style w:type="paragraph" w:customStyle="1" w:styleId="49">
    <w:name w:val="实施日期"/>
    <w:basedOn w:val="50"/>
    <w:qFormat/>
    <w:uiPriority w:val="0"/>
    <w:pPr>
      <w:framePr w:hSpace="0" w:wrap="around" w:vAnchor="text" w:hAnchor="text" w:xAlign="right"/>
      <w:jc w:val="right"/>
    </w:pPr>
  </w:style>
  <w:style w:type="paragraph" w:customStyle="1" w:styleId="5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szCs w:val="28"/>
      <w:lang w:val="en-US" w:eastAsia="zh-CN" w:bidi="ar-SA"/>
    </w:rPr>
  </w:style>
  <w:style w:type="paragraph" w:customStyle="1" w:styleId="51">
    <w:name w:val="其他发布部门"/>
    <w:basedOn w:val="1"/>
    <w:qFormat/>
    <w:uiPriority w:val="0"/>
    <w:pPr>
      <w:framePr w:w="7433" w:h="585" w:hRule="exact" w:hSpace="180" w:vSpace="180" w:wrap="around" w:vAnchor="margin" w:hAnchor="margin" w:xAlign="center" w:y="14401" w:anchorLock="1"/>
      <w:widowControl/>
      <w:spacing w:line="240" w:lineRule="atLeast"/>
      <w:jc w:val="center"/>
    </w:pPr>
    <w:rPr>
      <w:rFonts w:ascii="黑体" w:hAnsi="Times New Roman" w:eastAsia="黑体" w:cs="黑体"/>
      <w:spacing w:val="20"/>
      <w:w w:val="135"/>
      <w:kern w:val="0"/>
      <w:sz w:val="36"/>
      <w:szCs w:val="36"/>
    </w:rPr>
  </w:style>
  <w:style w:type="paragraph" w:customStyle="1" w:styleId="52">
    <w:name w:val="封面标准英文名称"/>
    <w:qFormat/>
    <w:uiPriority w:val="0"/>
    <w:pPr>
      <w:widowControl w:val="0"/>
      <w:spacing w:before="370" w:line="400" w:lineRule="exact"/>
      <w:ind w:left="4047"/>
      <w:jc w:val="center"/>
    </w:pPr>
    <w:rPr>
      <w:rFonts w:ascii="Times New Roman" w:hAnsi="Times New Roman" w:eastAsia="宋体" w:cs="Times New Roman"/>
      <w:sz w:val="28"/>
      <w:szCs w:val="28"/>
      <w:lang w:val="en-US" w:eastAsia="zh-CN" w:bidi="ar-SA"/>
    </w:rPr>
  </w:style>
  <w:style w:type="paragraph" w:customStyle="1" w:styleId="53">
    <w:name w:val="其他标准称谓"/>
    <w:qFormat/>
    <w:uiPriority w:val="0"/>
    <w:pPr>
      <w:spacing w:line="240" w:lineRule="atLeast"/>
      <w:jc w:val="distribute"/>
    </w:pPr>
    <w:rPr>
      <w:rFonts w:ascii="黑体" w:hAnsi="宋体" w:eastAsia="黑体" w:cs="黑体"/>
      <w:sz w:val="52"/>
      <w:szCs w:val="52"/>
      <w:lang w:val="en-US" w:eastAsia="zh-CN" w:bidi="ar-SA"/>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55">
    <w:name w:val="封面标准号1"/>
    <w:qFormat/>
    <w:uiPriority w:val="0"/>
    <w:pPr>
      <w:widowControl w:val="0"/>
      <w:kinsoku w:val="0"/>
      <w:overflowPunct w:val="0"/>
      <w:autoSpaceDE w:val="0"/>
      <w:autoSpaceDN w:val="0"/>
      <w:spacing w:before="308"/>
      <w:ind w:left="4047"/>
      <w:jc w:val="right"/>
      <w:textAlignment w:val="center"/>
    </w:pPr>
    <w:rPr>
      <w:rFonts w:ascii="Times New Roman" w:hAnsi="Times New Roman" w:eastAsia="宋体" w:cs="Times New Roman"/>
      <w:sz w:val="28"/>
      <w:szCs w:val="28"/>
      <w:lang w:val="en-US" w:eastAsia="zh-CN" w:bidi="ar-SA"/>
    </w:rPr>
  </w:style>
  <w:style w:type="paragraph" w:customStyle="1" w:styleId="56">
    <w:name w:val="标准书脚_偶数页"/>
    <w:qFormat/>
    <w:uiPriority w:val="0"/>
    <w:pPr>
      <w:spacing w:before="120"/>
    </w:pPr>
    <w:rPr>
      <w:rFonts w:ascii="Times New Roman" w:hAnsi="Times New Roman" w:eastAsia="宋体" w:cs="Times New Roman"/>
      <w:sz w:val="18"/>
      <w:szCs w:val="18"/>
      <w:lang w:val="en-US" w:eastAsia="zh-CN" w:bidi="ar-SA"/>
    </w:rPr>
  </w:style>
  <w:style w:type="paragraph" w:customStyle="1" w:styleId="57">
    <w:name w:val="标准书眉_偶数页"/>
    <w:basedOn w:val="45"/>
    <w:next w:val="1"/>
    <w:qFormat/>
    <w:uiPriority w:val="0"/>
    <w:pPr>
      <w:spacing w:after="120"/>
      <w:jc w:val="left"/>
    </w:pPr>
    <w:rPr>
      <w:rFonts w:ascii="Times New Roman" w:eastAsia="宋体"/>
    </w:rPr>
  </w:style>
  <w:style w:type="paragraph" w:customStyle="1" w:styleId="58">
    <w:name w:val="封面正文"/>
    <w:qFormat/>
    <w:uiPriority w:val="0"/>
    <w:pPr>
      <w:jc w:val="both"/>
    </w:pPr>
    <w:rPr>
      <w:rFonts w:ascii="Times New Roman" w:hAnsi="Times New Roman" w:eastAsia="宋体" w:cs="Times New Roman"/>
      <w:lang w:val="en-US" w:eastAsia="zh-CN" w:bidi="ar-SA"/>
    </w:rPr>
  </w:style>
  <w:style w:type="paragraph" w:customStyle="1" w:styleId="59">
    <w:name w:val="p16"/>
    <w:basedOn w:val="1"/>
    <w:qFormat/>
    <w:uiPriority w:val="0"/>
    <w:pPr>
      <w:widowControl/>
      <w:spacing w:line="240" w:lineRule="auto"/>
    </w:pPr>
    <w:rPr>
      <w:rFonts w:ascii="宋体" w:hAnsi="宋体" w:cs="宋体"/>
      <w:kern w:val="0"/>
      <w:szCs w:val="21"/>
    </w:rPr>
  </w:style>
  <w:style w:type="paragraph" w:customStyle="1" w:styleId="60">
    <w:name w:val="公式"/>
    <w:basedOn w:val="1"/>
    <w:qFormat/>
    <w:uiPriority w:val="99"/>
    <w:pPr>
      <w:tabs>
        <w:tab w:val="right" w:pos="6000"/>
      </w:tabs>
      <w:ind w:firstLine="200" w:firstLineChars="200"/>
      <w:jc w:val="right"/>
    </w:pPr>
    <w:rPr>
      <w:rFonts w:ascii="宋体" w:hAnsi="宋体" w:cs="宋体"/>
      <w:i/>
      <w:kern w:val="0"/>
      <w:sz w:val="24"/>
      <w:szCs w:val="21"/>
    </w:rPr>
  </w:style>
  <w:style w:type="paragraph" w:customStyle="1" w:styleId="61">
    <w:name w:val="一级条标题"/>
    <w:next w:val="37"/>
    <w:qFormat/>
    <w:uiPriority w:val="0"/>
    <w:pPr>
      <w:numPr>
        <w:ilvl w:val="1"/>
        <w:numId w:val="2"/>
      </w:numPr>
      <w:spacing w:beforeLines="50" w:afterLines="50"/>
      <w:ind w:left="851"/>
      <w:outlineLvl w:val="2"/>
    </w:pPr>
    <w:rPr>
      <w:rFonts w:ascii="黑体" w:hAnsi="Times New Roman" w:eastAsia="黑体" w:cs="Times New Roman"/>
      <w:sz w:val="21"/>
      <w:szCs w:val="21"/>
      <w:lang w:val="en-US" w:eastAsia="zh-CN" w:bidi="ar-SA"/>
    </w:rPr>
  </w:style>
  <w:style w:type="paragraph" w:customStyle="1" w:styleId="62">
    <w:name w:val="章标题"/>
    <w:next w:val="37"/>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63">
    <w:name w:val="二级条标题"/>
    <w:basedOn w:val="61"/>
    <w:next w:val="37"/>
    <w:qFormat/>
    <w:uiPriority w:val="0"/>
    <w:pPr>
      <w:numPr>
        <w:ilvl w:val="2"/>
      </w:numPr>
      <w:spacing w:before="50" w:after="50"/>
      <w:outlineLvl w:val="3"/>
    </w:pPr>
  </w:style>
  <w:style w:type="paragraph" w:customStyle="1" w:styleId="64">
    <w:name w:val="四级条标题"/>
    <w:basedOn w:val="1"/>
    <w:next w:val="37"/>
    <w:qFormat/>
    <w:uiPriority w:val="0"/>
    <w:pPr>
      <w:widowControl/>
      <w:numPr>
        <w:ilvl w:val="4"/>
        <w:numId w:val="2"/>
      </w:numPr>
      <w:spacing w:beforeLines="50" w:afterLines="50" w:line="240" w:lineRule="auto"/>
      <w:jc w:val="left"/>
      <w:outlineLvl w:val="5"/>
    </w:pPr>
    <w:rPr>
      <w:rFonts w:ascii="黑体" w:hAnsi="Times New Roman" w:eastAsia="黑体"/>
      <w:kern w:val="0"/>
      <w:szCs w:val="21"/>
    </w:rPr>
  </w:style>
  <w:style w:type="paragraph" w:customStyle="1" w:styleId="65">
    <w:name w:val="五级条标题"/>
    <w:basedOn w:val="64"/>
    <w:next w:val="37"/>
    <w:qFormat/>
    <w:uiPriority w:val="0"/>
    <w:pPr>
      <w:numPr>
        <w:ilvl w:val="5"/>
      </w:numPr>
      <w:outlineLvl w:val="6"/>
    </w:pPr>
  </w:style>
  <w:style w:type="paragraph" w:customStyle="1" w:styleId="66">
    <w:name w:val="表格"/>
    <w:basedOn w:val="1"/>
    <w:qFormat/>
    <w:uiPriority w:val="0"/>
    <w:pPr>
      <w:tabs>
        <w:tab w:val="left" w:leader="middleDot" w:pos="7680"/>
      </w:tabs>
      <w:spacing w:line="240" w:lineRule="auto"/>
      <w:jc w:val="center"/>
    </w:pPr>
    <w:rPr>
      <w:rFonts w:ascii="Times New Roman" w:hAnsi="Times New Roman"/>
      <w:szCs w:val="22"/>
    </w:rPr>
  </w:style>
  <w:style w:type="paragraph" w:customStyle="1" w:styleId="67">
    <w:name w:val="修订1"/>
    <w:unhideWhenUsed/>
    <w:qFormat/>
    <w:uiPriority w:val="99"/>
    <w:rPr>
      <w:rFonts w:ascii="Calibri" w:hAnsi="Calibri" w:eastAsia="宋体" w:cs="Times New Roman"/>
      <w:kern w:val="2"/>
      <w:sz w:val="21"/>
      <w:szCs w:val="24"/>
      <w:lang w:val="en-US" w:eastAsia="zh-CN" w:bidi="ar-SA"/>
    </w:rPr>
  </w:style>
  <w:style w:type="paragraph" w:customStyle="1" w:styleId="68">
    <w:name w:val="ZW正文"/>
    <w:qFormat/>
    <w:uiPriority w:val="0"/>
    <w:pPr>
      <w:snapToGrid w:val="0"/>
      <w:spacing w:line="360" w:lineRule="auto"/>
      <w:ind w:firstLine="200" w:firstLineChars="200"/>
    </w:pPr>
    <w:rPr>
      <w:rFonts w:ascii="Times New Roman" w:hAnsi="Times New Roman" w:eastAsia="仿宋_GB2312" w:cs="Times New Roman"/>
      <w:sz w:val="28"/>
      <w:szCs w:val="28"/>
      <w:lang w:val="en-US" w:eastAsia="zh-CN" w:bidi="ar-SA"/>
    </w:rPr>
  </w:style>
  <w:style w:type="paragraph" w:customStyle="1" w:styleId="69">
    <w:name w:val="修订2"/>
    <w:hidden/>
    <w:semiHidden/>
    <w:qFormat/>
    <w:uiPriority w:val="99"/>
    <w:rPr>
      <w:rFonts w:ascii="Calibri" w:hAnsi="Calibri" w:eastAsia="宋体" w:cs="Times New Roman"/>
      <w:kern w:val="2"/>
      <w:sz w:val="21"/>
      <w:szCs w:val="24"/>
      <w:lang w:val="en-US" w:eastAsia="zh-CN" w:bidi="ar-SA"/>
    </w:rPr>
  </w:style>
  <w:style w:type="paragraph" w:customStyle="1" w:styleId="70">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C7CA8-24CD-4513-9FCC-9245B9BBAF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5478</Words>
  <Characters>5748</Characters>
  <Lines>49</Lines>
  <Paragraphs>13</Paragraphs>
  <TotalTime>45</TotalTime>
  <ScaleCrop>false</ScaleCrop>
  <LinksUpToDate>false</LinksUpToDate>
  <CharactersWithSpaces>5882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2024-08-20T09:41:00Z</dcterms:created>
  <dc:creator>Administrator</dc:creator>
  <cp:lastModifiedBy>LuM</cp:lastModifiedBy>
  <cp:lastPrinted>2021-11-02T10:14:00Z</cp:lastPrinted>
  <dcterms:modified xsi:type="dcterms:W3CDTF">2024-08-26T09:20:05Z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BA7F3B6578984CCB9E452543417BB6FB</vt:lpwstr>
  </property>
</Properties>
</file>